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D9E3F" w14:textId="77777777" w:rsidR="00002F7F" w:rsidRPr="003D0B87" w:rsidRDefault="00002F7F" w:rsidP="00002F7F">
      <w:pPr>
        <w:jc w:val="center"/>
      </w:pPr>
      <w:r w:rsidRPr="003D0B87">
        <w:rPr>
          <w:noProof/>
        </w:rPr>
        <w:drawing>
          <wp:inline distT="0" distB="0" distL="0" distR="0" wp14:anchorId="7F4FEACF" wp14:editId="37F00501">
            <wp:extent cx="914400" cy="914400"/>
            <wp:effectExtent l="0" t="0" r="0" b="0"/>
            <wp:docPr id="2" name="Picture 2" descr="C:\Users\Andy Thompson\AppData\Local\Microsoft\Windows\INetCache\Content.MSO\AB3056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y Thompson\AppData\Local\Microsoft\Windows\INetCache\Content.MSO\AB3056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34CAB2F" w14:textId="77777777" w:rsidR="00002F7F" w:rsidRPr="003D0B87" w:rsidRDefault="00002F7F" w:rsidP="00002F7F">
      <w:pPr>
        <w:jc w:val="center"/>
      </w:pPr>
    </w:p>
    <w:p w14:paraId="49EFA8D2" w14:textId="25FA4A9C" w:rsidR="0058614D" w:rsidRPr="00002F7F" w:rsidRDefault="00F470C2" w:rsidP="005C0366">
      <w:pPr>
        <w:spacing w:after="0" w:line="240" w:lineRule="auto"/>
        <w:jc w:val="center"/>
        <w:rPr>
          <w:rFonts w:cs="Times New Roman"/>
          <w:smallCaps/>
          <w:sz w:val="32"/>
          <w:szCs w:val="24"/>
        </w:rPr>
      </w:pPr>
      <w:r>
        <w:rPr>
          <w:rFonts w:cs="Times New Roman"/>
          <w:smallCaps/>
          <w:sz w:val="32"/>
          <w:szCs w:val="24"/>
        </w:rPr>
        <w:t>Engaging in International Activities</w:t>
      </w:r>
      <w:r w:rsidR="00F1688A" w:rsidRPr="00002F7F">
        <w:rPr>
          <w:rFonts w:cs="Times New Roman"/>
          <w:smallCaps/>
          <w:sz w:val="32"/>
          <w:szCs w:val="24"/>
        </w:rPr>
        <w:t xml:space="preserve"> – </w:t>
      </w:r>
      <w:r w:rsidR="005C0366" w:rsidRPr="00002F7F">
        <w:rPr>
          <w:rFonts w:cs="Times New Roman"/>
          <w:smallCaps/>
          <w:sz w:val="32"/>
          <w:szCs w:val="24"/>
        </w:rPr>
        <w:t>Companion Self-Evaluation Report</w:t>
      </w:r>
      <w:r w:rsidR="00F1688A" w:rsidRPr="00002F7F">
        <w:rPr>
          <w:rFonts w:cs="Times New Roman"/>
          <w:smallCaps/>
          <w:sz w:val="32"/>
          <w:szCs w:val="24"/>
        </w:rPr>
        <w:t xml:space="preserve"> Template</w:t>
      </w:r>
    </w:p>
    <w:p w14:paraId="49EFA8D3" w14:textId="77777777" w:rsidR="00F1688A" w:rsidRPr="00871909" w:rsidRDefault="00F1688A" w:rsidP="00F1688A">
      <w:pPr>
        <w:spacing w:after="0" w:line="240" w:lineRule="auto"/>
        <w:rPr>
          <w:rFonts w:cs="Times New Roman"/>
          <w:smallCaps/>
        </w:rPr>
      </w:pPr>
    </w:p>
    <w:p w14:paraId="300DDAF9" w14:textId="2A2BC9FE" w:rsidR="00A94473" w:rsidRDefault="003D5B3B" w:rsidP="003D5B3B">
      <w:pPr>
        <w:spacing w:after="0" w:line="240" w:lineRule="auto"/>
        <w:rPr>
          <w:rFonts w:cs="Times New Roman"/>
        </w:rPr>
      </w:pPr>
      <w:r w:rsidRPr="00871909">
        <w:rPr>
          <w:rFonts w:cs="Times New Roman"/>
          <w:b/>
        </w:rPr>
        <w:t>General Instructions:</w:t>
      </w:r>
      <w:r w:rsidRPr="00871909">
        <w:rPr>
          <w:rFonts w:cs="Times New Roman"/>
        </w:rPr>
        <w:t xml:space="preserve"> Institutions </w:t>
      </w:r>
      <w:r w:rsidR="00F470C2">
        <w:rPr>
          <w:rFonts w:cs="Times New Roman"/>
        </w:rPr>
        <w:t xml:space="preserve">engaging in international activities as defined by </w:t>
      </w:r>
      <w:r w:rsidR="00986855" w:rsidRPr="00384057">
        <w:t>Part Two, Section XI</w:t>
      </w:r>
      <w:r w:rsidR="009543CE">
        <w:t>X</w:t>
      </w:r>
      <w:r w:rsidR="00986855" w:rsidRPr="00384057">
        <w:t>.K – Engaging in International Activities</w:t>
      </w:r>
      <w:r w:rsidR="00986855">
        <w:t xml:space="preserve"> of the </w:t>
      </w:r>
      <w:r w:rsidR="00986855" w:rsidRPr="005C0314">
        <w:rPr>
          <w:i/>
        </w:rPr>
        <w:t>Accreditation Handbook</w:t>
      </w:r>
      <w:r w:rsidR="00F470C2">
        <w:rPr>
          <w:rFonts w:cs="Times New Roman"/>
        </w:rPr>
        <w:t xml:space="preserve"> </w:t>
      </w:r>
      <w:r w:rsidR="00EA64AD">
        <w:rPr>
          <w:rFonts w:cs="Times New Roman"/>
        </w:rPr>
        <w:t xml:space="preserve">must </w:t>
      </w:r>
      <w:r w:rsidRPr="00871909">
        <w:rPr>
          <w:rFonts w:cs="Times New Roman"/>
        </w:rPr>
        <w:t>complete and submit this companion template with their Self-Evaluation Report</w:t>
      </w:r>
      <w:r w:rsidR="00EA64AD">
        <w:rPr>
          <w:rFonts w:cs="Times New Roman"/>
        </w:rPr>
        <w:t>.</w:t>
      </w:r>
    </w:p>
    <w:p w14:paraId="00A0FB1A" w14:textId="1057499D" w:rsidR="00A94473" w:rsidRDefault="00A94473" w:rsidP="003D5B3B">
      <w:pPr>
        <w:spacing w:after="0" w:line="240" w:lineRule="auto"/>
        <w:rPr>
          <w:rFonts w:cs="Times New Roman"/>
        </w:rPr>
      </w:pPr>
    </w:p>
    <w:p w14:paraId="2E53BD2D" w14:textId="77777777" w:rsidR="00656A64" w:rsidRPr="00CD4E7F" w:rsidRDefault="00656A64" w:rsidP="00CD4E7F">
      <w:pPr>
        <w:pStyle w:val="Heading1"/>
      </w:pPr>
      <w:r w:rsidRPr="00CD4E7F">
        <w:t>Standard I: Institutional Mission</w:t>
      </w:r>
    </w:p>
    <w:p w14:paraId="5D8D2B4E" w14:textId="68528EE2" w:rsidR="00656A64" w:rsidRPr="00B00553" w:rsidRDefault="00656A64" w:rsidP="003E0887">
      <w:pPr>
        <w:numPr>
          <w:ilvl w:val="0"/>
          <w:numId w:val="14"/>
        </w:numPr>
        <w:spacing w:after="0" w:line="240" w:lineRule="auto"/>
        <w:contextualSpacing/>
        <w:rPr>
          <w:rFonts w:cs="Times New Roman"/>
          <w:sz w:val="24"/>
          <w:szCs w:val="24"/>
        </w:rPr>
      </w:pPr>
      <w:r w:rsidRPr="00B00553">
        <w:rPr>
          <w:rFonts w:cs="Times New Roman"/>
          <w:b/>
          <w:sz w:val="24"/>
          <w:szCs w:val="24"/>
        </w:rPr>
        <w:t xml:space="preserve">Description of </w:t>
      </w:r>
      <w:r w:rsidR="00CD4E7F">
        <w:rPr>
          <w:rFonts w:cs="Times New Roman"/>
          <w:b/>
          <w:sz w:val="24"/>
          <w:szCs w:val="24"/>
        </w:rPr>
        <w:t xml:space="preserve">the </w:t>
      </w:r>
      <w:r w:rsidRPr="00B00553">
        <w:rPr>
          <w:rFonts w:cs="Times New Roman"/>
          <w:b/>
          <w:sz w:val="24"/>
          <w:szCs w:val="24"/>
        </w:rPr>
        <w:t>Mission:</w:t>
      </w:r>
      <w:r w:rsidRPr="00B00553">
        <w:rPr>
          <w:rFonts w:cs="Times New Roman"/>
          <w:sz w:val="24"/>
          <w:szCs w:val="24"/>
        </w:rPr>
        <w:t xml:space="preserve"> The institution’s mission communicates its purpose and its commitment to providing quality distance educational offerings appropriate to the level of study offered. The mission establishes the institution’s identity within the educational community and guides the development of </w:t>
      </w:r>
      <w:r>
        <w:rPr>
          <w:rFonts w:cs="Times New Roman"/>
          <w:sz w:val="24"/>
          <w:szCs w:val="24"/>
        </w:rPr>
        <w:t xml:space="preserve">its </w:t>
      </w:r>
      <w:r w:rsidRPr="00B00553">
        <w:rPr>
          <w:rFonts w:cs="Times New Roman"/>
          <w:sz w:val="24"/>
          <w:szCs w:val="24"/>
        </w:rPr>
        <w:t xml:space="preserve">educational offerings. </w:t>
      </w:r>
    </w:p>
    <w:p w14:paraId="0BC345E0" w14:textId="77777777" w:rsidR="00656A64" w:rsidRPr="005E27B3" w:rsidRDefault="00656A64" w:rsidP="00656A64">
      <w:pPr>
        <w:spacing w:after="0" w:line="240" w:lineRule="auto"/>
        <w:ind w:left="720"/>
        <w:contextualSpacing/>
        <w:rPr>
          <w:rFonts w:cs="Times New Roman"/>
        </w:rPr>
      </w:pPr>
    </w:p>
    <w:p w14:paraId="5D5C637C" w14:textId="77777777" w:rsidR="00656A64" w:rsidRPr="00C41A8E" w:rsidRDefault="00656A64" w:rsidP="003E0887">
      <w:pPr>
        <w:numPr>
          <w:ilvl w:val="0"/>
          <w:numId w:val="15"/>
        </w:numPr>
        <w:spacing w:after="0" w:line="240" w:lineRule="auto"/>
        <w:ind w:left="720"/>
        <w:contextualSpacing/>
        <w:rPr>
          <w:rFonts w:cs="Arial"/>
        </w:rPr>
      </w:pPr>
      <w:r w:rsidRPr="00C41A8E">
        <w:rPr>
          <w:rFonts w:cs="Arial"/>
        </w:rPr>
        <w:t>Present</w:t>
      </w:r>
      <w:r w:rsidRPr="005E27B3">
        <w:rPr>
          <w:rFonts w:ascii="Arial" w:hAnsi="Arial" w:cs="Arial"/>
          <w:color w:val="0000FF"/>
        </w:rPr>
        <w:t xml:space="preserve"> </w:t>
      </w:r>
      <w:r w:rsidRPr="00C41A8E">
        <w:rPr>
          <w:rFonts w:cs="Arial"/>
        </w:rPr>
        <w:t xml:space="preserve">the institution’s mission statement. </w:t>
      </w:r>
      <w:r w:rsidRPr="00C41A8E">
        <w:rPr>
          <w:rFonts w:cs="Arial"/>
        </w:rPr>
        <w:br/>
      </w:r>
    </w:p>
    <w:p w14:paraId="3C618655" w14:textId="77777777" w:rsidR="00656A64" w:rsidRPr="00C41A8E" w:rsidRDefault="00656A64" w:rsidP="00BE3960">
      <w:pPr>
        <w:spacing w:after="0" w:line="240" w:lineRule="auto"/>
        <w:ind w:left="1080"/>
        <w:contextualSpacing/>
        <w:rPr>
          <w:rFonts w:cs="Arial"/>
        </w:rPr>
      </w:pPr>
    </w:p>
    <w:p w14:paraId="046B2F24" w14:textId="77777777" w:rsidR="00656A64" w:rsidRPr="0069306C" w:rsidRDefault="00656A64" w:rsidP="00BE3960">
      <w:pPr>
        <w:spacing w:after="0" w:line="240" w:lineRule="auto"/>
        <w:ind w:left="1080"/>
        <w:contextualSpacing/>
        <w:rPr>
          <w:rFonts w:cs="Arial"/>
        </w:rPr>
      </w:pPr>
    </w:p>
    <w:p w14:paraId="1EFC3DC4" w14:textId="4D479028" w:rsidR="00656A64" w:rsidRPr="005E27B3" w:rsidRDefault="00656A64" w:rsidP="003E0887">
      <w:pPr>
        <w:numPr>
          <w:ilvl w:val="0"/>
          <w:numId w:val="15"/>
        </w:numPr>
        <w:spacing w:after="0" w:line="240" w:lineRule="auto"/>
        <w:ind w:left="720"/>
        <w:contextualSpacing/>
        <w:rPr>
          <w:rFonts w:cs="Arial"/>
        </w:rPr>
      </w:pPr>
      <w:r w:rsidRPr="00C41A8E">
        <w:rPr>
          <w:rFonts w:cstheme="minorHAnsi"/>
        </w:rPr>
        <w:t xml:space="preserve">Describe how </w:t>
      </w:r>
      <w:r>
        <w:rPr>
          <w:rFonts w:cstheme="minorHAnsi"/>
        </w:rPr>
        <w:t xml:space="preserve">the institution’s international activities are </w:t>
      </w:r>
      <w:r w:rsidRPr="00C41A8E">
        <w:rPr>
          <w:rFonts w:cstheme="minorHAnsi"/>
        </w:rPr>
        <w:t>guide</w:t>
      </w:r>
      <w:r>
        <w:rPr>
          <w:rFonts w:cstheme="minorHAnsi"/>
        </w:rPr>
        <w:t xml:space="preserve">d by and within the scope of </w:t>
      </w:r>
      <w:r w:rsidR="00E5350A">
        <w:rPr>
          <w:rFonts w:cstheme="minorHAnsi"/>
        </w:rPr>
        <w:t>the institution’s mission</w:t>
      </w:r>
      <w:r w:rsidRPr="00C41A8E">
        <w:rPr>
          <w:rFonts w:cstheme="minorHAnsi"/>
        </w:rPr>
        <w:t>.</w:t>
      </w:r>
      <w:r w:rsidRPr="005E27B3">
        <w:rPr>
          <w:rFonts w:cstheme="minorHAnsi"/>
        </w:rPr>
        <w:br/>
      </w:r>
      <w:r w:rsidRPr="005E27B3">
        <w:rPr>
          <w:rFonts w:cs="Arial"/>
        </w:rPr>
        <w:br/>
      </w:r>
      <w:r w:rsidRPr="005E27B3">
        <w:rPr>
          <w:rFonts w:cs="Arial"/>
        </w:rPr>
        <w:br/>
      </w:r>
    </w:p>
    <w:p w14:paraId="4DDA38D5" w14:textId="77777777" w:rsidR="00656A64" w:rsidRPr="005E27B3" w:rsidRDefault="00656A64" w:rsidP="003E0887">
      <w:pPr>
        <w:pStyle w:val="ListParagraph"/>
        <w:numPr>
          <w:ilvl w:val="0"/>
          <w:numId w:val="14"/>
        </w:numPr>
        <w:spacing w:after="0" w:line="240" w:lineRule="auto"/>
        <w:rPr>
          <w:rFonts w:cs="Times New Roman"/>
          <w:sz w:val="24"/>
          <w:szCs w:val="24"/>
        </w:rPr>
      </w:pPr>
      <w:r w:rsidRPr="005E27B3">
        <w:rPr>
          <w:rFonts w:cs="Times New Roman"/>
          <w:b/>
          <w:sz w:val="24"/>
          <w:szCs w:val="24"/>
        </w:rPr>
        <w:t>Review and Publication of the Mission:</w:t>
      </w:r>
      <w:r w:rsidRPr="005E27B3">
        <w:rPr>
          <w:rFonts w:cs="Times New Roman"/>
          <w:sz w:val="24"/>
          <w:szCs w:val="24"/>
        </w:rPr>
        <w:t xml:space="preserve"> The </w:t>
      </w:r>
      <w:r>
        <w:rPr>
          <w:rFonts w:cs="Times New Roman"/>
          <w:sz w:val="24"/>
          <w:szCs w:val="24"/>
        </w:rPr>
        <w:t xml:space="preserve">institution’s </w:t>
      </w:r>
      <w:r w:rsidRPr="005E27B3">
        <w:rPr>
          <w:rFonts w:cs="Times New Roman"/>
          <w:sz w:val="24"/>
          <w:szCs w:val="24"/>
        </w:rPr>
        <w:t xml:space="preserve">leadership, faculty, staff, administrators, and other stakeholders regularly review the mission to assure continued institutional </w:t>
      </w:r>
      <w:r>
        <w:rPr>
          <w:rFonts w:cs="Times New Roman"/>
          <w:sz w:val="24"/>
          <w:szCs w:val="24"/>
        </w:rPr>
        <w:t xml:space="preserve">quality and </w:t>
      </w:r>
      <w:r w:rsidRPr="005E27B3">
        <w:rPr>
          <w:rFonts w:cs="Times New Roman"/>
          <w:sz w:val="24"/>
          <w:szCs w:val="24"/>
        </w:rPr>
        <w:t xml:space="preserve">viability. The </w:t>
      </w:r>
      <w:r>
        <w:rPr>
          <w:rFonts w:cs="Times New Roman"/>
          <w:sz w:val="24"/>
          <w:szCs w:val="24"/>
        </w:rPr>
        <w:t xml:space="preserve">published </w:t>
      </w:r>
      <w:r w:rsidRPr="005E27B3">
        <w:rPr>
          <w:rFonts w:cs="Times New Roman"/>
          <w:sz w:val="24"/>
          <w:szCs w:val="24"/>
        </w:rPr>
        <w:t xml:space="preserve">mission </w:t>
      </w:r>
      <w:r>
        <w:rPr>
          <w:rFonts w:cs="Times New Roman"/>
          <w:sz w:val="24"/>
          <w:szCs w:val="24"/>
        </w:rPr>
        <w:t xml:space="preserve">statement </w:t>
      </w:r>
      <w:r w:rsidRPr="005E27B3">
        <w:rPr>
          <w:rFonts w:cs="Times New Roman"/>
          <w:sz w:val="24"/>
          <w:szCs w:val="24"/>
        </w:rPr>
        <w:t>is readily accessible to students, faculty, staff, other stakeholders</w:t>
      </w:r>
      <w:r>
        <w:rPr>
          <w:rFonts w:cs="Times New Roman"/>
          <w:sz w:val="24"/>
          <w:szCs w:val="24"/>
        </w:rPr>
        <w:t>, and the public</w:t>
      </w:r>
      <w:r w:rsidRPr="005E27B3">
        <w:rPr>
          <w:rFonts w:cs="Times New Roman"/>
          <w:sz w:val="24"/>
          <w:szCs w:val="24"/>
        </w:rPr>
        <w:t xml:space="preserve">. </w:t>
      </w:r>
    </w:p>
    <w:p w14:paraId="47C318CC" w14:textId="77777777" w:rsidR="00656A64" w:rsidRPr="005E27B3" w:rsidRDefault="00656A64" w:rsidP="00656A64">
      <w:pPr>
        <w:spacing w:after="0" w:line="240" w:lineRule="auto"/>
        <w:ind w:left="720"/>
        <w:contextualSpacing/>
        <w:rPr>
          <w:rFonts w:cs="Times New Roman"/>
        </w:rPr>
      </w:pPr>
    </w:p>
    <w:p w14:paraId="229B26A6" w14:textId="50AA740B" w:rsidR="00656A64" w:rsidRPr="00C41A8E" w:rsidRDefault="00656A64" w:rsidP="003E0887">
      <w:pPr>
        <w:numPr>
          <w:ilvl w:val="0"/>
          <w:numId w:val="18"/>
        </w:numPr>
        <w:spacing w:after="0" w:line="240" w:lineRule="auto"/>
        <w:contextualSpacing/>
        <w:rPr>
          <w:rFonts w:cs="Arial"/>
        </w:rPr>
      </w:pPr>
      <w:r w:rsidRPr="00C41A8E">
        <w:rPr>
          <w:rFonts w:cs="Arial"/>
        </w:rPr>
        <w:t xml:space="preserve">Describe the procedures followed by the leadership, faculty, staff, administrators and other stakeholders </w:t>
      </w:r>
      <w:r w:rsidR="00CF68A8">
        <w:rPr>
          <w:rFonts w:cs="Arial"/>
        </w:rPr>
        <w:t xml:space="preserve">to </w:t>
      </w:r>
      <w:r w:rsidR="006E2332">
        <w:rPr>
          <w:rFonts w:cs="Arial"/>
        </w:rPr>
        <w:t>ensure</w:t>
      </w:r>
      <w:r w:rsidR="00CF68A8">
        <w:rPr>
          <w:rFonts w:cs="Arial"/>
        </w:rPr>
        <w:t xml:space="preserve"> that international office personnel and agents </w:t>
      </w:r>
      <w:r w:rsidRPr="00C41A8E">
        <w:rPr>
          <w:rFonts w:cs="Arial"/>
        </w:rPr>
        <w:t xml:space="preserve">regularly review the mission. </w:t>
      </w:r>
      <w:r w:rsidRPr="00C41A8E">
        <w:rPr>
          <w:rFonts w:cs="Arial"/>
        </w:rPr>
        <w:br/>
      </w:r>
      <w:r w:rsidRPr="00C41A8E">
        <w:rPr>
          <w:rFonts w:cs="Arial"/>
        </w:rPr>
        <w:br/>
      </w:r>
      <w:r w:rsidRPr="00C41A8E">
        <w:rPr>
          <w:rFonts w:cs="Arial"/>
        </w:rPr>
        <w:br/>
      </w:r>
    </w:p>
    <w:p w14:paraId="1E6211BC" w14:textId="39DA2A2C" w:rsidR="00656A64" w:rsidRPr="00C41A8E" w:rsidRDefault="00656A64" w:rsidP="003E0887">
      <w:pPr>
        <w:numPr>
          <w:ilvl w:val="0"/>
          <w:numId w:val="18"/>
        </w:numPr>
        <w:spacing w:after="0" w:line="240" w:lineRule="auto"/>
        <w:contextualSpacing/>
        <w:rPr>
          <w:rFonts w:cs="Arial"/>
        </w:rPr>
      </w:pPr>
      <w:r w:rsidRPr="0069306C">
        <w:rPr>
          <w:rFonts w:cs="Arial"/>
        </w:rPr>
        <w:t>Identify</w:t>
      </w:r>
      <w:r w:rsidRPr="005E27B3">
        <w:rPr>
          <w:rFonts w:ascii="Arial" w:hAnsi="Arial" w:cs="Arial"/>
          <w:color w:val="0000FF"/>
        </w:rPr>
        <w:t xml:space="preserve"> </w:t>
      </w:r>
      <w:r w:rsidRPr="00C41A8E">
        <w:rPr>
          <w:rFonts w:cs="Arial"/>
        </w:rPr>
        <w:t xml:space="preserve">who is responsible for </w:t>
      </w:r>
      <w:r w:rsidR="00D20435">
        <w:rPr>
          <w:rFonts w:cs="Arial"/>
        </w:rPr>
        <w:t>ensuring</w:t>
      </w:r>
      <w:r w:rsidRPr="00C41A8E">
        <w:rPr>
          <w:rFonts w:cs="Arial"/>
        </w:rPr>
        <w:t xml:space="preserve"> </w:t>
      </w:r>
      <w:r>
        <w:rPr>
          <w:rFonts w:cs="Arial"/>
        </w:rPr>
        <w:t xml:space="preserve">that </w:t>
      </w:r>
      <w:r w:rsidRPr="00C41A8E">
        <w:rPr>
          <w:rFonts w:cs="Arial"/>
        </w:rPr>
        <w:t xml:space="preserve">the mission is readily accessible to faculty, staff, </w:t>
      </w:r>
      <w:r w:rsidR="00CF68A8">
        <w:rPr>
          <w:rFonts w:cs="Arial"/>
        </w:rPr>
        <w:t xml:space="preserve">and </w:t>
      </w:r>
      <w:r w:rsidRPr="00C41A8E">
        <w:rPr>
          <w:rFonts w:cs="Arial"/>
        </w:rPr>
        <w:t>other stakeholders</w:t>
      </w:r>
      <w:r w:rsidR="00CF68A8">
        <w:rPr>
          <w:rFonts w:cs="Arial"/>
        </w:rPr>
        <w:t xml:space="preserve"> who engage in international activity</w:t>
      </w:r>
      <w:r w:rsidRPr="00C41A8E">
        <w:rPr>
          <w:rFonts w:cs="Arial"/>
        </w:rPr>
        <w:t xml:space="preserve">. </w:t>
      </w:r>
      <w:r w:rsidRPr="00C41A8E">
        <w:rPr>
          <w:rFonts w:cs="Arial"/>
        </w:rPr>
        <w:br/>
      </w:r>
      <w:r w:rsidRPr="00C41A8E">
        <w:rPr>
          <w:rFonts w:cs="Arial"/>
        </w:rPr>
        <w:br/>
      </w:r>
      <w:r w:rsidRPr="00C41A8E">
        <w:rPr>
          <w:rFonts w:cs="Arial"/>
        </w:rPr>
        <w:lastRenderedPageBreak/>
        <w:br/>
      </w:r>
    </w:p>
    <w:p w14:paraId="62C90CB6" w14:textId="77777777" w:rsidR="00656A64" w:rsidRPr="00293AE7" w:rsidRDefault="00656A64" w:rsidP="00CD4E7F">
      <w:pPr>
        <w:pStyle w:val="Heading1"/>
      </w:pPr>
      <w:r w:rsidRPr="00293AE7">
        <w:t>Standard II: Institutional Effectiveness and Strategic Planning</w:t>
      </w:r>
    </w:p>
    <w:p w14:paraId="55F9A038" w14:textId="77777777" w:rsidR="00656A64" w:rsidRPr="00B00553" w:rsidRDefault="00656A64" w:rsidP="003E0887">
      <w:pPr>
        <w:numPr>
          <w:ilvl w:val="0"/>
          <w:numId w:val="3"/>
        </w:numPr>
        <w:spacing w:after="0" w:line="240" w:lineRule="auto"/>
        <w:contextualSpacing/>
        <w:rPr>
          <w:rFonts w:cs="Times New Roman"/>
          <w:sz w:val="24"/>
          <w:szCs w:val="24"/>
        </w:rPr>
      </w:pPr>
      <w:r w:rsidRPr="00B00553">
        <w:rPr>
          <w:rFonts w:cs="Times New Roman"/>
          <w:b/>
          <w:sz w:val="24"/>
          <w:szCs w:val="24"/>
        </w:rPr>
        <w:t>Institutional Effectiveness Planning:</w:t>
      </w:r>
      <w:r w:rsidRPr="00B00553">
        <w:rPr>
          <w:rFonts w:cs="Times New Roman"/>
          <w:sz w:val="24"/>
          <w:szCs w:val="24"/>
        </w:rPr>
        <w:t xml:space="preserve"> The institution demonstrates a commitment to its educational offerings and administrative operations through processes that monitor and improve institutional effectiveness. The institution engages in sound research practices</w:t>
      </w:r>
      <w:r>
        <w:rPr>
          <w:rFonts w:cs="Times New Roman"/>
          <w:sz w:val="24"/>
          <w:szCs w:val="24"/>
        </w:rPr>
        <w:t>; collects and analyzes evidence about its effectiveness; and develops action plans that are</w:t>
      </w:r>
      <w:r w:rsidRPr="00B00553">
        <w:rPr>
          <w:rFonts w:cs="Times New Roman"/>
          <w:sz w:val="24"/>
          <w:szCs w:val="24"/>
        </w:rPr>
        <w:t xml:space="preserve"> used to improve operations, educational offerings, and services. </w:t>
      </w:r>
    </w:p>
    <w:p w14:paraId="64847915" w14:textId="77777777" w:rsidR="00656A64" w:rsidRPr="005E27B3" w:rsidRDefault="00656A64" w:rsidP="00656A64">
      <w:pPr>
        <w:spacing w:after="0" w:line="240" w:lineRule="auto"/>
        <w:ind w:left="720"/>
        <w:contextualSpacing/>
        <w:rPr>
          <w:rFonts w:cs="Arial"/>
        </w:rPr>
      </w:pPr>
    </w:p>
    <w:p w14:paraId="4925F451" w14:textId="754ED662" w:rsidR="00656A64" w:rsidRPr="00C41A8E" w:rsidRDefault="00656A64" w:rsidP="003E0887">
      <w:pPr>
        <w:numPr>
          <w:ilvl w:val="0"/>
          <w:numId w:val="4"/>
        </w:numPr>
        <w:spacing w:after="0" w:line="240" w:lineRule="auto"/>
        <w:ind w:left="720"/>
        <w:contextualSpacing/>
        <w:rPr>
          <w:rFonts w:cs="Arial"/>
        </w:rPr>
      </w:pPr>
      <w:r w:rsidRPr="00C41A8E">
        <w:rPr>
          <w:rFonts w:cs="Arial"/>
        </w:rPr>
        <w:t xml:space="preserve">Describe the institution’s efforts </w:t>
      </w:r>
      <w:r>
        <w:rPr>
          <w:rFonts w:cs="Arial"/>
        </w:rPr>
        <w:t xml:space="preserve">to </w:t>
      </w:r>
      <w:r w:rsidRPr="00C41A8E">
        <w:rPr>
          <w:rFonts w:cs="Arial"/>
        </w:rPr>
        <w:t>monitor institutional effectiveness</w:t>
      </w:r>
      <w:r w:rsidR="005046E8">
        <w:rPr>
          <w:rFonts w:cs="Arial"/>
        </w:rPr>
        <w:t xml:space="preserve"> as it pertains to its international activities</w:t>
      </w:r>
      <w:r w:rsidRPr="00C41A8E">
        <w:rPr>
          <w:rFonts w:cs="Arial"/>
        </w:rPr>
        <w:t>. Provide examples of the data collected and analyzed when monitoring institutional effectiveness.</w:t>
      </w:r>
      <w:r w:rsidRPr="005E27B3">
        <w:rPr>
          <w:rFonts w:ascii="Arial" w:hAnsi="Arial" w:cs="Arial"/>
          <w:color w:val="0000FF"/>
        </w:rPr>
        <w:t xml:space="preserve"> </w:t>
      </w:r>
      <w:r w:rsidRPr="00C41A8E">
        <w:rPr>
          <w:rFonts w:cs="Arial"/>
        </w:rPr>
        <w:t xml:space="preserve"> </w:t>
      </w:r>
      <w:r w:rsidRPr="00C41A8E">
        <w:rPr>
          <w:rFonts w:cs="Arial"/>
        </w:rPr>
        <w:br/>
      </w:r>
      <w:r w:rsidRPr="00C41A8E">
        <w:rPr>
          <w:rFonts w:cs="Arial"/>
        </w:rPr>
        <w:br/>
      </w:r>
      <w:r w:rsidRPr="00C41A8E">
        <w:rPr>
          <w:rFonts w:cs="Arial"/>
        </w:rPr>
        <w:br/>
      </w:r>
    </w:p>
    <w:p w14:paraId="0338218B" w14:textId="1CC37919" w:rsidR="00656A64" w:rsidRPr="0069306C" w:rsidRDefault="00656A64" w:rsidP="003E0887">
      <w:pPr>
        <w:numPr>
          <w:ilvl w:val="0"/>
          <w:numId w:val="4"/>
        </w:numPr>
        <w:spacing w:after="0" w:line="240" w:lineRule="auto"/>
        <w:ind w:left="720"/>
        <w:contextualSpacing/>
        <w:rPr>
          <w:rFonts w:cs="Arial"/>
        </w:rPr>
      </w:pPr>
      <w:r w:rsidRPr="0069306C">
        <w:rPr>
          <w:rFonts w:cs="Arial"/>
        </w:rPr>
        <w:t xml:space="preserve">Describe the key indicators the institution uses to measure </w:t>
      </w:r>
      <w:r w:rsidR="002B7863">
        <w:rPr>
          <w:rFonts w:cs="Arial"/>
        </w:rPr>
        <w:t xml:space="preserve">the </w:t>
      </w:r>
      <w:r w:rsidRPr="0069306C">
        <w:rPr>
          <w:rFonts w:cs="Arial"/>
        </w:rPr>
        <w:t xml:space="preserve">effectiveness </w:t>
      </w:r>
      <w:r w:rsidR="002B7863">
        <w:rPr>
          <w:rFonts w:cs="Arial"/>
        </w:rPr>
        <w:t xml:space="preserve">of its international activities </w:t>
      </w:r>
      <w:r>
        <w:rPr>
          <w:rFonts w:cs="Arial"/>
        </w:rPr>
        <w:t>to</w:t>
      </w:r>
      <w:r w:rsidRPr="0069306C">
        <w:rPr>
          <w:rFonts w:cs="Arial"/>
        </w:rPr>
        <w:t xml:space="preserve"> determine if improvements are needed. </w:t>
      </w:r>
      <w:r w:rsidRPr="0069306C">
        <w:rPr>
          <w:rFonts w:cs="Arial"/>
        </w:rPr>
        <w:br/>
      </w:r>
      <w:r w:rsidRPr="0069306C">
        <w:rPr>
          <w:rFonts w:cs="Arial"/>
        </w:rPr>
        <w:br/>
      </w:r>
      <w:r w:rsidRPr="0069306C">
        <w:rPr>
          <w:rFonts w:cs="Arial"/>
        </w:rPr>
        <w:br/>
      </w:r>
    </w:p>
    <w:p w14:paraId="1B6B7DEE" w14:textId="0F8DC5DD" w:rsidR="00656A64" w:rsidRPr="005E27B3" w:rsidRDefault="00656A64" w:rsidP="003E0887">
      <w:pPr>
        <w:numPr>
          <w:ilvl w:val="0"/>
          <w:numId w:val="4"/>
        </w:numPr>
        <w:spacing w:after="0" w:line="240" w:lineRule="auto"/>
        <w:ind w:left="720"/>
        <w:contextualSpacing/>
        <w:rPr>
          <w:rFonts w:cs="Arial"/>
        </w:rPr>
      </w:pPr>
      <w:r w:rsidRPr="0069306C">
        <w:rPr>
          <w:rFonts w:cs="Arial"/>
        </w:rPr>
        <w:t xml:space="preserve">Describe and provide examples of how the institution improves </w:t>
      </w:r>
      <w:r>
        <w:rPr>
          <w:rFonts w:cs="Arial"/>
        </w:rPr>
        <w:t xml:space="preserve">its </w:t>
      </w:r>
      <w:r w:rsidR="002B7863">
        <w:rPr>
          <w:rFonts w:cs="Arial"/>
        </w:rPr>
        <w:t>international activities</w:t>
      </w:r>
      <w:r w:rsidRPr="0069306C">
        <w:rPr>
          <w:rFonts w:cs="Arial"/>
        </w:rPr>
        <w:t xml:space="preserve"> based on the data collected </w:t>
      </w:r>
      <w:r>
        <w:rPr>
          <w:rFonts w:cs="Arial"/>
        </w:rPr>
        <w:t xml:space="preserve">and analyzed </w:t>
      </w:r>
      <w:r w:rsidRPr="0069306C">
        <w:rPr>
          <w:rFonts w:cs="Arial"/>
        </w:rPr>
        <w:t>from it</w:t>
      </w:r>
      <w:r w:rsidRPr="005E27B3">
        <w:rPr>
          <w:rFonts w:cs="Arial"/>
        </w:rPr>
        <w:t xml:space="preserve">s research studies. </w:t>
      </w:r>
      <w:r w:rsidRPr="005E27B3">
        <w:rPr>
          <w:rFonts w:cs="Arial"/>
        </w:rPr>
        <w:br/>
      </w:r>
      <w:r w:rsidRPr="005E27B3">
        <w:rPr>
          <w:rFonts w:cs="Arial"/>
        </w:rPr>
        <w:br/>
      </w:r>
      <w:r w:rsidRPr="005E27B3">
        <w:rPr>
          <w:rFonts w:cs="Arial"/>
        </w:rPr>
        <w:br/>
      </w:r>
    </w:p>
    <w:p w14:paraId="089DF4BC" w14:textId="56AFDD25" w:rsidR="00656A64" w:rsidRPr="005E27B3" w:rsidRDefault="00656A64" w:rsidP="003E0887">
      <w:pPr>
        <w:numPr>
          <w:ilvl w:val="0"/>
          <w:numId w:val="4"/>
        </w:numPr>
        <w:spacing w:after="0" w:line="240" w:lineRule="auto"/>
        <w:ind w:left="720"/>
        <w:contextualSpacing/>
        <w:rPr>
          <w:rFonts w:cs="Arial"/>
        </w:rPr>
      </w:pPr>
      <w:r w:rsidRPr="005E27B3">
        <w:rPr>
          <w:rFonts w:cs="Arial"/>
        </w:rPr>
        <w:t xml:space="preserve">Describe how often the institutional effectiveness </w:t>
      </w:r>
      <w:r>
        <w:rPr>
          <w:rFonts w:cs="Arial"/>
        </w:rPr>
        <w:t xml:space="preserve">programs and </w:t>
      </w:r>
      <w:r w:rsidRPr="005E27B3">
        <w:rPr>
          <w:rFonts w:cs="Arial"/>
        </w:rPr>
        <w:t xml:space="preserve">data </w:t>
      </w:r>
      <w:r w:rsidR="002B7863">
        <w:rPr>
          <w:rFonts w:cs="Arial"/>
        </w:rPr>
        <w:t xml:space="preserve">pertaining to international activities </w:t>
      </w:r>
      <w:r w:rsidRPr="005E27B3">
        <w:rPr>
          <w:rFonts w:cs="Arial"/>
        </w:rPr>
        <w:t>are reviewed</w:t>
      </w:r>
      <w:r>
        <w:rPr>
          <w:rFonts w:cs="Arial"/>
        </w:rPr>
        <w:t xml:space="preserve"> to determine achievement of initiatives</w:t>
      </w:r>
      <w:r w:rsidRPr="005E27B3">
        <w:rPr>
          <w:rFonts w:cs="Arial"/>
        </w:rPr>
        <w:t xml:space="preserve">. </w:t>
      </w:r>
      <w:r w:rsidRPr="005E27B3">
        <w:rPr>
          <w:rFonts w:cs="Arial"/>
        </w:rPr>
        <w:br/>
      </w:r>
      <w:r w:rsidRPr="005E27B3">
        <w:rPr>
          <w:rFonts w:cs="Arial"/>
        </w:rPr>
        <w:br/>
      </w:r>
      <w:r w:rsidRPr="005E27B3">
        <w:rPr>
          <w:rFonts w:cs="Arial"/>
        </w:rPr>
        <w:br/>
      </w:r>
    </w:p>
    <w:p w14:paraId="2EC28892" w14:textId="2D717FB4" w:rsidR="00656A64" w:rsidRPr="005E27B3" w:rsidRDefault="002B7863" w:rsidP="003E0887">
      <w:pPr>
        <w:numPr>
          <w:ilvl w:val="0"/>
          <w:numId w:val="4"/>
        </w:numPr>
        <w:spacing w:after="0" w:line="240" w:lineRule="auto"/>
        <w:ind w:left="720"/>
        <w:contextualSpacing/>
        <w:rPr>
          <w:rFonts w:cs="Arial"/>
        </w:rPr>
      </w:pPr>
      <w:r>
        <w:rPr>
          <w:rFonts w:cs="Arial"/>
        </w:rPr>
        <w:t>As they pertain to the institution’s international activities, d</w:t>
      </w:r>
      <w:r w:rsidR="00656A64" w:rsidRPr="00C41A8E">
        <w:rPr>
          <w:rFonts w:cs="Arial"/>
        </w:rPr>
        <w:t xml:space="preserve">escribe </w:t>
      </w:r>
      <w:r w:rsidR="00656A64">
        <w:rPr>
          <w:rFonts w:cs="Arial"/>
        </w:rPr>
        <w:t>action plans</w:t>
      </w:r>
      <w:r w:rsidR="00656A64" w:rsidRPr="00C41A8E">
        <w:rPr>
          <w:rFonts w:cs="Arial"/>
        </w:rPr>
        <w:t xml:space="preserve"> undertaken during its most recent institutional effectiveness planning cycle</w:t>
      </w:r>
      <w:r w:rsidR="00656A64">
        <w:rPr>
          <w:rFonts w:cs="Arial"/>
        </w:rPr>
        <w:t xml:space="preserve"> and how these plans are incorporated into the overall strategic plan presented in Standard II.B. </w:t>
      </w:r>
      <w:proofErr w:type="gramStart"/>
      <w:r w:rsidR="00656A64">
        <w:rPr>
          <w:rFonts w:cs="Arial"/>
        </w:rPr>
        <w:t>below</w:t>
      </w:r>
      <w:proofErr w:type="gramEnd"/>
      <w:r w:rsidR="00656A64" w:rsidRPr="00C41A8E">
        <w:rPr>
          <w:rFonts w:cs="Arial"/>
        </w:rPr>
        <w:t>.</w:t>
      </w:r>
      <w:r w:rsidR="00656A64" w:rsidRPr="005E27B3">
        <w:rPr>
          <w:rFonts w:cs="Arial"/>
        </w:rPr>
        <w:br/>
      </w:r>
      <w:r w:rsidR="00656A64" w:rsidRPr="005E27B3">
        <w:rPr>
          <w:rFonts w:cs="Arial"/>
        </w:rPr>
        <w:br/>
      </w:r>
    </w:p>
    <w:p w14:paraId="77FE0C52" w14:textId="77777777" w:rsidR="00656A64" w:rsidRPr="005E27B3" w:rsidRDefault="00656A64" w:rsidP="00BE3960">
      <w:pPr>
        <w:spacing w:after="0" w:line="240" w:lineRule="auto"/>
        <w:ind w:left="720"/>
        <w:rPr>
          <w:rFonts w:cs="Times New Roman"/>
        </w:rPr>
      </w:pPr>
    </w:p>
    <w:p w14:paraId="682BAA56" w14:textId="395C8992" w:rsidR="00656A64" w:rsidRPr="00B00553" w:rsidRDefault="00656A64" w:rsidP="003E0887">
      <w:pPr>
        <w:numPr>
          <w:ilvl w:val="0"/>
          <w:numId w:val="3"/>
        </w:numPr>
        <w:spacing w:after="0" w:line="240" w:lineRule="auto"/>
        <w:contextualSpacing/>
        <w:rPr>
          <w:rFonts w:cs="Times New Roman"/>
          <w:sz w:val="24"/>
          <w:szCs w:val="24"/>
        </w:rPr>
      </w:pPr>
      <w:r w:rsidRPr="00B00553">
        <w:rPr>
          <w:rFonts w:cs="Times New Roman"/>
          <w:b/>
          <w:sz w:val="24"/>
          <w:szCs w:val="24"/>
        </w:rPr>
        <w:t>Strategic Planning:</w:t>
      </w:r>
      <w:r w:rsidRPr="00B00553">
        <w:rPr>
          <w:rFonts w:cs="Times New Roman"/>
          <w:sz w:val="24"/>
          <w:szCs w:val="24"/>
        </w:rPr>
        <w:t xml:space="preserve"> The </w:t>
      </w:r>
      <w:r w:rsidRPr="00F6063D">
        <w:rPr>
          <w:rFonts w:cs="Times New Roman"/>
          <w:sz w:val="24"/>
          <w:szCs w:val="24"/>
        </w:rPr>
        <w:t>institution has a systematic process of planning for the achievement of goals that supports its mission. The institution’s planning process involves all areas of the institution’s operations (e.</w:t>
      </w:r>
      <w:r w:rsidRPr="00B00553">
        <w:rPr>
          <w:rFonts w:cs="Times New Roman"/>
          <w:sz w:val="24"/>
          <w:szCs w:val="24"/>
        </w:rPr>
        <w:t>g., admissions, academic</w:t>
      </w:r>
      <w:r w:rsidR="005C0393">
        <w:rPr>
          <w:rFonts w:cs="Times New Roman"/>
          <w:sz w:val="24"/>
          <w:szCs w:val="24"/>
        </w:rPr>
        <w:t>s</w:t>
      </w:r>
      <w:r w:rsidRPr="00B00553">
        <w:rPr>
          <w:rFonts w:cs="Times New Roman"/>
          <w:sz w:val="24"/>
          <w:szCs w:val="24"/>
        </w:rPr>
        <w:t xml:space="preserve">, technology, etc.) in identifying strategic initiatives and goals by evaluating external and internal trends </w:t>
      </w:r>
      <w:r>
        <w:rPr>
          <w:rFonts w:cs="Times New Roman"/>
          <w:sz w:val="24"/>
          <w:szCs w:val="24"/>
        </w:rPr>
        <w:t>as they affect the future</w:t>
      </w:r>
      <w:r w:rsidRPr="00B00553">
        <w:rPr>
          <w:rFonts w:cs="Times New Roman"/>
          <w:sz w:val="24"/>
          <w:szCs w:val="24"/>
        </w:rPr>
        <w:t xml:space="preserve">. At a minimum, the strategic plan addresses finances, academics, technology, admissions, marketing, personnel, and </w:t>
      </w:r>
      <w:r>
        <w:rPr>
          <w:rFonts w:cs="Times New Roman"/>
          <w:sz w:val="24"/>
          <w:szCs w:val="24"/>
        </w:rPr>
        <w:t xml:space="preserve">institutional </w:t>
      </w:r>
      <w:r w:rsidRPr="00B00553">
        <w:rPr>
          <w:rFonts w:cs="Times New Roman"/>
          <w:sz w:val="24"/>
          <w:szCs w:val="24"/>
        </w:rPr>
        <w:t xml:space="preserve">sustainability. The strategic plan is reviewed and updated annually using established metrics designed to measure achievement of strategic planning </w:t>
      </w:r>
      <w:r>
        <w:rPr>
          <w:rFonts w:cs="Times New Roman"/>
          <w:sz w:val="24"/>
          <w:szCs w:val="24"/>
        </w:rPr>
        <w:t>goals and objectives. The plan helps institutions set priorities, manage resources, and set goals for future performance</w:t>
      </w:r>
      <w:r w:rsidRPr="00B00553">
        <w:rPr>
          <w:rFonts w:cs="Times New Roman"/>
          <w:sz w:val="24"/>
          <w:szCs w:val="24"/>
        </w:rPr>
        <w:t xml:space="preserve">. </w:t>
      </w:r>
    </w:p>
    <w:p w14:paraId="6E328B84" w14:textId="77777777" w:rsidR="00656A64" w:rsidRPr="005E27B3" w:rsidRDefault="00656A64" w:rsidP="00656A64">
      <w:pPr>
        <w:spacing w:after="0" w:line="240" w:lineRule="auto"/>
        <w:ind w:left="720"/>
        <w:contextualSpacing/>
        <w:rPr>
          <w:rFonts w:cs="Arial"/>
          <w:b/>
        </w:rPr>
      </w:pPr>
    </w:p>
    <w:p w14:paraId="40D0FB4C" w14:textId="6BCC10C9" w:rsidR="00656A64" w:rsidRPr="005E27B3" w:rsidRDefault="00656A64" w:rsidP="003E0887">
      <w:pPr>
        <w:numPr>
          <w:ilvl w:val="0"/>
          <w:numId w:val="5"/>
        </w:numPr>
        <w:spacing w:after="0" w:line="240" w:lineRule="auto"/>
        <w:ind w:left="720"/>
        <w:contextualSpacing/>
        <w:rPr>
          <w:rFonts w:cs="Arial"/>
        </w:rPr>
      </w:pPr>
      <w:r w:rsidRPr="005E27B3">
        <w:rPr>
          <w:rFonts w:cs="Arial"/>
        </w:rPr>
        <w:t>Describe how the institution’s strategic plan addresses</w:t>
      </w:r>
      <w:r w:rsidR="00AD0BFE">
        <w:rPr>
          <w:rFonts w:cs="Arial"/>
        </w:rPr>
        <w:t xml:space="preserve"> international activities.</w:t>
      </w:r>
      <w:r w:rsidRPr="005E27B3">
        <w:rPr>
          <w:rFonts w:cs="Arial"/>
        </w:rPr>
        <w:t xml:space="preserve"> </w:t>
      </w:r>
    </w:p>
    <w:p w14:paraId="4C7408CF" w14:textId="530C93DC" w:rsidR="00AD0BFE" w:rsidRDefault="00AD0BFE" w:rsidP="00BE3960">
      <w:pPr>
        <w:spacing w:after="0" w:line="240" w:lineRule="auto"/>
        <w:ind w:left="720"/>
        <w:contextualSpacing/>
        <w:rPr>
          <w:rFonts w:cs="Arial"/>
        </w:rPr>
      </w:pPr>
    </w:p>
    <w:p w14:paraId="24914B32" w14:textId="77777777" w:rsidR="00AD0BFE" w:rsidRPr="005E27B3" w:rsidRDefault="00AD0BFE" w:rsidP="00BE3960">
      <w:pPr>
        <w:spacing w:after="0" w:line="240" w:lineRule="auto"/>
        <w:ind w:left="720"/>
        <w:contextualSpacing/>
        <w:rPr>
          <w:rFonts w:cs="Arial"/>
        </w:rPr>
      </w:pPr>
    </w:p>
    <w:p w14:paraId="5C81B1B0" w14:textId="77777777" w:rsidR="00AD0BFE" w:rsidRDefault="00AD0BFE" w:rsidP="00BE3960">
      <w:pPr>
        <w:spacing w:after="0" w:line="240" w:lineRule="auto"/>
        <w:ind w:left="720"/>
        <w:contextualSpacing/>
        <w:rPr>
          <w:rFonts w:cs="Arial"/>
        </w:rPr>
      </w:pPr>
    </w:p>
    <w:p w14:paraId="063FBE88" w14:textId="18F87212" w:rsidR="00656A64" w:rsidRPr="00C41A8E" w:rsidRDefault="00656A64" w:rsidP="003E0887">
      <w:pPr>
        <w:numPr>
          <w:ilvl w:val="0"/>
          <w:numId w:val="5"/>
        </w:numPr>
        <w:spacing w:after="0" w:line="240" w:lineRule="auto"/>
        <w:ind w:left="720"/>
        <w:contextualSpacing/>
        <w:rPr>
          <w:rFonts w:cs="Arial"/>
        </w:rPr>
      </w:pPr>
      <w:r w:rsidRPr="00C41A8E">
        <w:rPr>
          <w:rFonts w:cs="Arial"/>
        </w:rPr>
        <w:t>Describe the metrics</w:t>
      </w:r>
      <w:r>
        <w:rPr>
          <w:rFonts w:cs="Arial"/>
        </w:rPr>
        <w:t xml:space="preserve"> the institution has</w:t>
      </w:r>
      <w:r w:rsidRPr="00C41A8E">
        <w:rPr>
          <w:rFonts w:cs="Arial"/>
        </w:rPr>
        <w:t xml:space="preserve"> identified that guide the achievement of its strategic planning </w:t>
      </w:r>
      <w:r>
        <w:rPr>
          <w:rFonts w:cs="Arial"/>
        </w:rPr>
        <w:t>goals and objectives</w:t>
      </w:r>
      <w:r w:rsidR="00AD0BFE">
        <w:rPr>
          <w:rFonts w:cs="Arial"/>
        </w:rPr>
        <w:t xml:space="preserve"> pertaining to international activities</w:t>
      </w:r>
      <w:r w:rsidRPr="00C41A8E">
        <w:rPr>
          <w:rFonts w:cs="Arial"/>
        </w:rPr>
        <w:t xml:space="preserve">. </w:t>
      </w:r>
      <w:r w:rsidRPr="00C41A8E">
        <w:rPr>
          <w:rFonts w:cs="Arial"/>
        </w:rPr>
        <w:br/>
      </w:r>
      <w:r w:rsidRPr="00C41A8E">
        <w:rPr>
          <w:rFonts w:cs="Arial"/>
        </w:rPr>
        <w:br/>
      </w:r>
    </w:p>
    <w:p w14:paraId="567D28D1" w14:textId="77777777" w:rsidR="00656A64" w:rsidRPr="00C41A8E" w:rsidRDefault="00656A64" w:rsidP="00BE3960">
      <w:pPr>
        <w:spacing w:after="0" w:line="240" w:lineRule="auto"/>
        <w:ind w:left="1080"/>
        <w:contextualSpacing/>
        <w:rPr>
          <w:rFonts w:cs="Arial"/>
        </w:rPr>
      </w:pPr>
    </w:p>
    <w:p w14:paraId="1A93C9B9" w14:textId="10E3BB7C" w:rsidR="00656A64" w:rsidRPr="00DA2AC5" w:rsidRDefault="00656A64" w:rsidP="003E0887">
      <w:pPr>
        <w:numPr>
          <w:ilvl w:val="0"/>
          <w:numId w:val="5"/>
        </w:numPr>
        <w:spacing w:after="0" w:line="240" w:lineRule="auto"/>
        <w:ind w:left="720"/>
        <w:contextualSpacing/>
        <w:rPr>
          <w:rFonts w:cs="Times New Roman"/>
        </w:rPr>
      </w:pPr>
      <w:r w:rsidRPr="0069306C">
        <w:rPr>
          <w:rFonts w:cs="Arial"/>
        </w:rPr>
        <w:t>Identify key</w:t>
      </w:r>
      <w:r w:rsidR="00AD0BFE">
        <w:rPr>
          <w:rFonts w:cs="Arial"/>
        </w:rPr>
        <w:t xml:space="preserve"> international activity</w:t>
      </w:r>
      <w:r w:rsidRPr="0069306C">
        <w:rPr>
          <w:rFonts w:cs="Arial"/>
        </w:rPr>
        <w:t xml:space="preserve"> achievements from the institution’s last strategic planning cycle that resulted in improvements to the educational offerings and administrative operations.</w:t>
      </w:r>
      <w:r>
        <w:rPr>
          <w:rFonts w:cs="Arial"/>
        </w:rPr>
        <w:t xml:space="preserve"> </w:t>
      </w:r>
    </w:p>
    <w:p w14:paraId="32AE71FC" w14:textId="77777777" w:rsidR="00656A64" w:rsidRDefault="00656A64" w:rsidP="00BE3960">
      <w:pPr>
        <w:pStyle w:val="ListParagraph"/>
        <w:rPr>
          <w:rFonts w:cs="Times New Roman"/>
        </w:rPr>
      </w:pPr>
    </w:p>
    <w:p w14:paraId="695797BA" w14:textId="77777777" w:rsidR="00656A64" w:rsidRDefault="00656A64" w:rsidP="00BE3960">
      <w:pPr>
        <w:spacing w:after="0" w:line="240" w:lineRule="auto"/>
        <w:ind w:left="720"/>
        <w:contextualSpacing/>
        <w:rPr>
          <w:rFonts w:cs="Times New Roman"/>
        </w:rPr>
      </w:pPr>
    </w:p>
    <w:p w14:paraId="4DCD8C7E" w14:textId="014E3EAC" w:rsidR="00656A64" w:rsidRPr="00B00553" w:rsidRDefault="00656A64" w:rsidP="00CD4E7F">
      <w:pPr>
        <w:pStyle w:val="Heading1"/>
      </w:pPr>
      <w:r w:rsidRPr="00B00553">
        <w:t>Standard IV: Educational and Student Support Services</w:t>
      </w:r>
    </w:p>
    <w:p w14:paraId="619398BC" w14:textId="77777777" w:rsidR="00656A64" w:rsidRPr="00B00553" w:rsidRDefault="00656A64" w:rsidP="003E0887">
      <w:pPr>
        <w:numPr>
          <w:ilvl w:val="0"/>
          <w:numId w:val="6"/>
        </w:numPr>
        <w:spacing w:after="0" w:line="240" w:lineRule="auto"/>
        <w:contextualSpacing/>
        <w:rPr>
          <w:rFonts w:cs="Times New Roman"/>
          <w:sz w:val="24"/>
          <w:szCs w:val="24"/>
        </w:rPr>
      </w:pPr>
      <w:r w:rsidRPr="00B00553">
        <w:rPr>
          <w:rFonts w:cs="Times New Roman"/>
          <w:b/>
          <w:sz w:val="24"/>
          <w:szCs w:val="24"/>
        </w:rPr>
        <w:t>Appropriate Technology:</w:t>
      </w:r>
      <w:r w:rsidRPr="00B00553">
        <w:rPr>
          <w:rFonts w:cs="Times New Roman"/>
          <w:sz w:val="24"/>
          <w:szCs w:val="24"/>
        </w:rPr>
        <w:t xml:space="preserve"> The institution uses appropriate and readily accessible technology to optimize interaction between the institution and the </w:t>
      </w:r>
      <w:r>
        <w:rPr>
          <w:rFonts w:cs="Times New Roman"/>
          <w:sz w:val="24"/>
          <w:szCs w:val="24"/>
        </w:rPr>
        <w:t>student</w:t>
      </w:r>
      <w:r w:rsidRPr="00B00553">
        <w:rPr>
          <w:rFonts w:cs="Times New Roman"/>
          <w:sz w:val="24"/>
          <w:szCs w:val="24"/>
        </w:rPr>
        <w:t xml:space="preserve"> that </w:t>
      </w:r>
      <w:r>
        <w:rPr>
          <w:rFonts w:cs="Times New Roman"/>
          <w:sz w:val="24"/>
          <w:szCs w:val="24"/>
        </w:rPr>
        <w:t>effectively supports</w:t>
      </w:r>
      <w:r w:rsidRPr="00B00553">
        <w:rPr>
          <w:rFonts w:cs="Times New Roman"/>
          <w:sz w:val="24"/>
          <w:szCs w:val="24"/>
        </w:rPr>
        <w:t xml:space="preserve"> instructional and educational services. Students, faculty, and involved practitioners receive training and support for the technology used to deliver the educational offerings.</w:t>
      </w:r>
    </w:p>
    <w:p w14:paraId="765751C4" w14:textId="77777777" w:rsidR="00656A64" w:rsidRPr="009F03D9" w:rsidRDefault="00656A64" w:rsidP="00656A64">
      <w:pPr>
        <w:spacing w:after="0" w:line="240" w:lineRule="auto"/>
        <w:ind w:left="720"/>
        <w:contextualSpacing/>
        <w:rPr>
          <w:rFonts w:cstheme="minorHAnsi"/>
          <w:b/>
        </w:rPr>
      </w:pPr>
    </w:p>
    <w:p w14:paraId="3D948F78" w14:textId="2ED1D5BF" w:rsidR="00656A64" w:rsidRPr="00BE3960" w:rsidRDefault="00656A64" w:rsidP="003E0887">
      <w:pPr>
        <w:pStyle w:val="ListParagraph"/>
        <w:numPr>
          <w:ilvl w:val="0"/>
          <w:numId w:val="19"/>
        </w:numPr>
        <w:spacing w:after="0" w:line="240" w:lineRule="auto"/>
        <w:rPr>
          <w:rFonts w:cstheme="minorHAnsi"/>
        </w:rPr>
      </w:pPr>
      <w:r w:rsidRPr="00BE3960">
        <w:rPr>
          <w:rFonts w:cstheme="minorHAnsi"/>
        </w:rPr>
        <w:t>Describe the institution’s plans for maintaining current technology and adopting new technology</w:t>
      </w:r>
      <w:r w:rsidR="00EE2399" w:rsidRPr="00BE3960">
        <w:rPr>
          <w:rFonts w:cstheme="minorHAnsi"/>
        </w:rPr>
        <w:t xml:space="preserve"> for any international functions or offices</w:t>
      </w:r>
      <w:r w:rsidRPr="00BE3960">
        <w:rPr>
          <w:rFonts w:cstheme="minorHAnsi"/>
        </w:rPr>
        <w:t>.</w:t>
      </w:r>
      <w:r w:rsidRPr="00BE3960">
        <w:rPr>
          <w:rFonts w:cstheme="minorHAnsi"/>
        </w:rPr>
        <w:br/>
      </w:r>
      <w:r w:rsidRPr="00BE3960">
        <w:rPr>
          <w:rFonts w:cstheme="minorHAnsi"/>
        </w:rPr>
        <w:br/>
      </w:r>
      <w:r w:rsidRPr="00BE3960">
        <w:rPr>
          <w:rFonts w:cstheme="minorHAnsi"/>
        </w:rPr>
        <w:br/>
      </w:r>
    </w:p>
    <w:p w14:paraId="0750B867" w14:textId="77777777" w:rsidR="00656A64" w:rsidRPr="00B00553" w:rsidRDefault="00656A64" w:rsidP="003E0887">
      <w:pPr>
        <w:numPr>
          <w:ilvl w:val="0"/>
          <w:numId w:val="20"/>
        </w:numPr>
        <w:spacing w:after="0" w:line="240" w:lineRule="auto"/>
        <w:contextualSpacing/>
        <w:rPr>
          <w:rFonts w:cs="Times New Roman"/>
          <w:sz w:val="24"/>
          <w:szCs w:val="24"/>
        </w:rPr>
      </w:pPr>
      <w:r w:rsidRPr="00B00553">
        <w:rPr>
          <w:rFonts w:cs="Times New Roman"/>
          <w:b/>
          <w:sz w:val="24"/>
          <w:szCs w:val="24"/>
        </w:rPr>
        <w:t>Individual Differences:</w:t>
      </w:r>
      <w:r w:rsidRPr="00B00553">
        <w:rPr>
          <w:rFonts w:cs="Times New Roman"/>
          <w:sz w:val="24"/>
          <w:szCs w:val="24"/>
        </w:rPr>
        <w:t xml:space="preserve"> Academic advising and instructional support are provided to assist students in achieving institutional and program requirements, program outcomes, course learning outcomes, and educational goals consistent with best educational practices and as required by applicable federal and state laws. </w:t>
      </w:r>
    </w:p>
    <w:p w14:paraId="3EBEF7AC" w14:textId="77777777" w:rsidR="00656A64" w:rsidRPr="009F03D9" w:rsidRDefault="00656A64" w:rsidP="00656A64">
      <w:pPr>
        <w:spacing w:after="0" w:line="240" w:lineRule="auto"/>
        <w:ind w:left="720"/>
        <w:contextualSpacing/>
        <w:rPr>
          <w:rFonts w:cs="Arial"/>
          <w:b/>
        </w:rPr>
      </w:pPr>
    </w:p>
    <w:p w14:paraId="79010AF9" w14:textId="6F7CE892" w:rsidR="00894E68" w:rsidRDefault="00656A64" w:rsidP="003E0887">
      <w:pPr>
        <w:numPr>
          <w:ilvl w:val="0"/>
          <w:numId w:val="7"/>
        </w:numPr>
        <w:spacing w:after="0" w:line="240" w:lineRule="auto"/>
        <w:ind w:left="720"/>
        <w:contextualSpacing/>
        <w:rPr>
          <w:rFonts w:cs="Arial"/>
        </w:rPr>
      </w:pPr>
      <w:r w:rsidRPr="009F03D9">
        <w:rPr>
          <w:rFonts w:cs="Arial"/>
        </w:rPr>
        <w:t xml:space="preserve">Describe </w:t>
      </w:r>
      <w:r w:rsidR="00EE2399">
        <w:rPr>
          <w:rFonts w:cs="Arial"/>
        </w:rPr>
        <w:t>any</w:t>
      </w:r>
      <w:r w:rsidR="00EE2399" w:rsidRPr="009F03D9">
        <w:rPr>
          <w:rFonts w:cs="Arial"/>
        </w:rPr>
        <w:t xml:space="preserve"> </w:t>
      </w:r>
      <w:r w:rsidRPr="009F03D9">
        <w:rPr>
          <w:rFonts w:cs="Arial"/>
        </w:rPr>
        <w:t xml:space="preserve">academic advising </w:t>
      </w:r>
      <w:r w:rsidR="00EE2399">
        <w:rPr>
          <w:rFonts w:cs="Arial"/>
        </w:rPr>
        <w:t>a</w:t>
      </w:r>
      <w:r w:rsidRPr="009F03D9">
        <w:rPr>
          <w:rFonts w:cs="Arial"/>
        </w:rPr>
        <w:t>nd</w:t>
      </w:r>
      <w:r w:rsidR="00EE2399">
        <w:rPr>
          <w:rFonts w:cs="Arial"/>
        </w:rPr>
        <w:t>/or</w:t>
      </w:r>
      <w:r w:rsidRPr="009F03D9">
        <w:rPr>
          <w:rFonts w:cs="Arial"/>
        </w:rPr>
        <w:t xml:space="preserve"> instructional support provided by the institution </w:t>
      </w:r>
      <w:r w:rsidR="00894E68">
        <w:rPr>
          <w:rFonts w:cs="Arial"/>
        </w:rPr>
        <w:t>via an international site, foreign agent, or through another international educational entity.</w:t>
      </w:r>
    </w:p>
    <w:p w14:paraId="02C22B6A" w14:textId="77777777" w:rsidR="00894E68" w:rsidRDefault="00894E68" w:rsidP="00BE3960">
      <w:pPr>
        <w:spacing w:after="0" w:line="240" w:lineRule="auto"/>
        <w:ind w:left="720"/>
        <w:contextualSpacing/>
        <w:rPr>
          <w:rFonts w:cs="Arial"/>
        </w:rPr>
      </w:pPr>
    </w:p>
    <w:p w14:paraId="66282D0C" w14:textId="77777777" w:rsidR="00894E68" w:rsidRDefault="00894E68" w:rsidP="00BE3960">
      <w:pPr>
        <w:spacing w:after="0" w:line="240" w:lineRule="auto"/>
        <w:ind w:left="720"/>
        <w:contextualSpacing/>
        <w:rPr>
          <w:rFonts w:cs="Arial"/>
        </w:rPr>
      </w:pPr>
    </w:p>
    <w:p w14:paraId="5B4D19C9" w14:textId="7F9CF3C3" w:rsidR="00656A64" w:rsidRPr="009F03D9" w:rsidRDefault="00656A64" w:rsidP="00BE3960">
      <w:pPr>
        <w:spacing w:after="0" w:line="240" w:lineRule="auto"/>
        <w:ind w:left="720"/>
        <w:contextualSpacing/>
        <w:rPr>
          <w:rFonts w:cs="Times New Roman"/>
        </w:rPr>
      </w:pPr>
    </w:p>
    <w:p w14:paraId="4BEEC3B1" w14:textId="77777777" w:rsidR="00656A64" w:rsidRPr="007F6168" w:rsidRDefault="00656A64" w:rsidP="003E0887">
      <w:pPr>
        <w:numPr>
          <w:ilvl w:val="0"/>
          <w:numId w:val="21"/>
        </w:numPr>
        <w:spacing w:after="0" w:line="240" w:lineRule="auto"/>
        <w:contextualSpacing/>
        <w:rPr>
          <w:rFonts w:cs="Times New Roman"/>
          <w:sz w:val="24"/>
          <w:szCs w:val="24"/>
        </w:rPr>
      </w:pPr>
      <w:r w:rsidRPr="007F6168">
        <w:rPr>
          <w:rFonts w:cs="Times New Roman"/>
          <w:b/>
          <w:sz w:val="24"/>
          <w:szCs w:val="24"/>
        </w:rPr>
        <w:t>Student Records:</w:t>
      </w:r>
      <w:r w:rsidRPr="007F6168">
        <w:rPr>
          <w:rFonts w:cs="Times New Roman"/>
          <w:sz w:val="24"/>
          <w:szCs w:val="24"/>
        </w:rPr>
        <w:t xml:space="preserve"> Accurate student records are securely and confidentially maintained. Policies and procedures for keeping records on students’ academic progress are in accordance with applicable federal and state laws and professional requirements. Transcripts are readily accessible and are maintained permanently in either print or digital form. </w:t>
      </w:r>
    </w:p>
    <w:p w14:paraId="21D63173" w14:textId="77777777" w:rsidR="00656A64" w:rsidRPr="008137E4" w:rsidRDefault="00656A64" w:rsidP="00656A64">
      <w:pPr>
        <w:spacing w:after="0" w:line="240" w:lineRule="auto"/>
        <w:ind w:left="720"/>
        <w:contextualSpacing/>
        <w:rPr>
          <w:rFonts w:cs="Arial"/>
        </w:rPr>
      </w:pPr>
    </w:p>
    <w:p w14:paraId="3133BB94" w14:textId="51F851A9" w:rsidR="00656A64" w:rsidRPr="00BE3960" w:rsidRDefault="00656A64" w:rsidP="003E0887">
      <w:pPr>
        <w:pStyle w:val="ListParagraph"/>
        <w:numPr>
          <w:ilvl w:val="1"/>
          <w:numId w:val="21"/>
        </w:numPr>
        <w:spacing w:after="0" w:line="240" w:lineRule="auto"/>
        <w:rPr>
          <w:rFonts w:cs="Arial"/>
        </w:rPr>
      </w:pPr>
      <w:r w:rsidRPr="00BE3960">
        <w:rPr>
          <w:rFonts w:cs="Arial"/>
        </w:rPr>
        <w:t xml:space="preserve">Describe </w:t>
      </w:r>
      <w:r w:rsidR="004D571C" w:rsidRPr="00BE3960">
        <w:rPr>
          <w:rFonts w:cs="Arial"/>
        </w:rPr>
        <w:t xml:space="preserve">how any </w:t>
      </w:r>
      <w:r w:rsidRPr="00BE3960">
        <w:rPr>
          <w:rFonts w:cs="Arial"/>
        </w:rPr>
        <w:t xml:space="preserve">formal academic records </w:t>
      </w:r>
      <w:r w:rsidR="004D571C" w:rsidRPr="00BE3960">
        <w:rPr>
          <w:rFonts w:cs="Arial"/>
        </w:rPr>
        <w:t>kept by international coordinating offices, foreign agent, or partner educational entities are securely and confidentially maintained in accordance with applicable federal, state, and international laws and professional requirements</w:t>
      </w:r>
      <w:r w:rsidRPr="00BE3960">
        <w:rPr>
          <w:rFonts w:cs="Arial"/>
        </w:rPr>
        <w:t xml:space="preserve">. </w:t>
      </w:r>
      <w:r w:rsidRPr="00BE3960">
        <w:rPr>
          <w:rFonts w:cs="Arial"/>
        </w:rPr>
        <w:br/>
      </w:r>
      <w:r w:rsidRPr="00BE3960">
        <w:rPr>
          <w:rFonts w:cs="Arial"/>
        </w:rPr>
        <w:lastRenderedPageBreak/>
        <w:br/>
      </w:r>
      <w:r w:rsidRPr="00BE3960">
        <w:rPr>
          <w:rFonts w:cs="Arial"/>
        </w:rPr>
        <w:br/>
      </w:r>
    </w:p>
    <w:p w14:paraId="58F91B6E" w14:textId="77777777" w:rsidR="00656A64" w:rsidRPr="008D38ED" w:rsidRDefault="00656A64" w:rsidP="00CD4E7F">
      <w:pPr>
        <w:pStyle w:val="Heading1"/>
      </w:pPr>
      <w:r w:rsidRPr="008D38ED">
        <w:t>Standard VI: Academic Leadership and Faculty Qualifications</w:t>
      </w:r>
    </w:p>
    <w:p w14:paraId="679E2399" w14:textId="77777777" w:rsidR="00656A64" w:rsidRPr="00B00553" w:rsidRDefault="00656A64" w:rsidP="003E0887">
      <w:pPr>
        <w:numPr>
          <w:ilvl w:val="0"/>
          <w:numId w:val="1"/>
        </w:numPr>
        <w:spacing w:after="0" w:line="240" w:lineRule="auto"/>
        <w:contextualSpacing/>
        <w:rPr>
          <w:rFonts w:cs="Times New Roman"/>
          <w:sz w:val="24"/>
          <w:szCs w:val="24"/>
        </w:rPr>
      </w:pPr>
      <w:r w:rsidRPr="00B00553">
        <w:rPr>
          <w:rFonts w:cs="Times New Roman"/>
          <w:b/>
          <w:sz w:val="24"/>
          <w:szCs w:val="24"/>
        </w:rPr>
        <w:t xml:space="preserve">Academic Leadership: </w:t>
      </w:r>
      <w:r w:rsidRPr="00B00553">
        <w:rPr>
          <w:rFonts w:cs="Times New Roman"/>
          <w:sz w:val="24"/>
          <w:szCs w:val="24"/>
        </w:rPr>
        <w:t xml:space="preserve">The institution demonstrates appropriate academic leadership capacity and infrastructure to support the effective distance education delivery of educational offerings. Academic leaders possess the academic credentials, background, knowledge, ethics, and experience necessary to guide the instructional activities of the institution. </w:t>
      </w:r>
    </w:p>
    <w:p w14:paraId="38C8A037" w14:textId="77777777" w:rsidR="00656A64" w:rsidRPr="006F3B04" w:rsidRDefault="00656A64" w:rsidP="00656A64">
      <w:pPr>
        <w:spacing w:after="0" w:line="240" w:lineRule="auto"/>
        <w:ind w:left="720"/>
        <w:contextualSpacing/>
        <w:rPr>
          <w:rFonts w:cs="Times New Roman"/>
        </w:rPr>
      </w:pPr>
    </w:p>
    <w:p w14:paraId="2536185D" w14:textId="67877CBF" w:rsidR="00656A64" w:rsidRPr="006F3B04" w:rsidRDefault="00656A64" w:rsidP="003E0887">
      <w:pPr>
        <w:numPr>
          <w:ilvl w:val="0"/>
          <w:numId w:val="8"/>
        </w:numPr>
        <w:spacing w:after="0" w:line="240" w:lineRule="auto"/>
        <w:ind w:left="720"/>
        <w:contextualSpacing/>
        <w:rPr>
          <w:rFonts w:cs="Arial"/>
        </w:rPr>
      </w:pPr>
      <w:r w:rsidRPr="006F3B04">
        <w:rPr>
          <w:rFonts w:cs="Arial"/>
        </w:rPr>
        <w:t xml:space="preserve">Describe how the institution’s academic infrastructure is adequate to </w:t>
      </w:r>
      <w:r w:rsidR="00E150F8">
        <w:rPr>
          <w:rFonts w:cs="Arial"/>
        </w:rPr>
        <w:t>oversee any international functions, coordinating offices, and partner educational entity activities that the institution is engaged in.</w:t>
      </w:r>
      <w:r w:rsidRPr="006F3B04">
        <w:rPr>
          <w:rFonts w:cs="Arial"/>
        </w:rPr>
        <w:t xml:space="preserve"> </w:t>
      </w:r>
      <w:r w:rsidRPr="006F3B04">
        <w:rPr>
          <w:rFonts w:cs="Arial"/>
        </w:rPr>
        <w:br/>
      </w:r>
      <w:r w:rsidRPr="006F3B04">
        <w:rPr>
          <w:rFonts w:cs="Arial"/>
        </w:rPr>
        <w:br/>
      </w:r>
      <w:r w:rsidRPr="006F3B04">
        <w:rPr>
          <w:rFonts w:cs="Arial"/>
        </w:rPr>
        <w:br/>
      </w:r>
    </w:p>
    <w:p w14:paraId="77BC6449" w14:textId="6F0A29DC" w:rsidR="00656A64" w:rsidRPr="006F3B04" w:rsidRDefault="00656A64" w:rsidP="003E0887">
      <w:pPr>
        <w:numPr>
          <w:ilvl w:val="0"/>
          <w:numId w:val="8"/>
        </w:numPr>
        <w:spacing w:after="0" w:line="240" w:lineRule="auto"/>
        <w:ind w:left="720"/>
        <w:contextualSpacing/>
        <w:rPr>
          <w:rFonts w:cs="Times New Roman"/>
        </w:rPr>
      </w:pPr>
      <w:r w:rsidRPr="006F3B04">
        <w:rPr>
          <w:rFonts w:cs="Arial"/>
        </w:rPr>
        <w:t xml:space="preserve">Describe the roles and responsibilities of </w:t>
      </w:r>
      <w:r w:rsidR="00E150F8">
        <w:rPr>
          <w:rFonts w:cs="Arial"/>
        </w:rPr>
        <w:t>any</w:t>
      </w:r>
      <w:r w:rsidR="00E150F8" w:rsidRPr="006F3B04">
        <w:rPr>
          <w:rFonts w:cs="Arial"/>
        </w:rPr>
        <w:t xml:space="preserve"> </w:t>
      </w:r>
      <w:r w:rsidRPr="006F3B04">
        <w:rPr>
          <w:rFonts w:cs="Arial"/>
        </w:rPr>
        <w:t>academic leadership</w:t>
      </w:r>
      <w:r w:rsidR="00E150F8">
        <w:rPr>
          <w:rFonts w:cs="Arial"/>
        </w:rPr>
        <w:t xml:space="preserve"> directly responsible for </w:t>
      </w:r>
      <w:r w:rsidR="002E2E81">
        <w:rPr>
          <w:rFonts w:cs="Arial"/>
        </w:rPr>
        <w:t>oversight of international activities</w:t>
      </w:r>
      <w:r w:rsidRPr="006F3B04">
        <w:rPr>
          <w:rFonts w:cs="Arial"/>
        </w:rPr>
        <w:t>.</w:t>
      </w:r>
      <w:r w:rsidRPr="006F3B04">
        <w:rPr>
          <w:rFonts w:cs="Arial"/>
        </w:rPr>
        <w:br/>
      </w:r>
    </w:p>
    <w:p w14:paraId="11602DCC" w14:textId="77777777" w:rsidR="00656A64" w:rsidRPr="006F3B04" w:rsidRDefault="00656A64" w:rsidP="00BE3960">
      <w:pPr>
        <w:spacing w:after="0" w:line="240" w:lineRule="auto"/>
        <w:ind w:left="720"/>
        <w:contextualSpacing/>
        <w:rPr>
          <w:rFonts w:cs="Times New Roman"/>
        </w:rPr>
      </w:pPr>
      <w:r w:rsidRPr="006F3B04">
        <w:rPr>
          <w:rFonts w:cs="Arial"/>
        </w:rPr>
        <w:br/>
      </w:r>
    </w:p>
    <w:p w14:paraId="3EF7D9CE" w14:textId="77777777" w:rsidR="00656A64" w:rsidRPr="00B00553" w:rsidRDefault="00656A64" w:rsidP="003E0887">
      <w:pPr>
        <w:numPr>
          <w:ilvl w:val="0"/>
          <w:numId w:val="22"/>
        </w:numPr>
        <w:spacing w:after="0" w:line="240" w:lineRule="auto"/>
        <w:contextualSpacing/>
        <w:rPr>
          <w:rFonts w:cs="Times New Roman"/>
          <w:sz w:val="24"/>
          <w:szCs w:val="24"/>
        </w:rPr>
      </w:pPr>
      <w:r w:rsidRPr="00B00553">
        <w:rPr>
          <w:rFonts w:cs="Times New Roman"/>
          <w:b/>
          <w:sz w:val="24"/>
          <w:szCs w:val="24"/>
        </w:rPr>
        <w:t>Instructors, Faculty, and Staff:</w:t>
      </w:r>
      <w:r w:rsidRPr="00B00553">
        <w:rPr>
          <w:rFonts w:cs="Times New Roman"/>
          <w:sz w:val="24"/>
          <w:szCs w:val="24"/>
        </w:rPr>
        <w:t xml:space="preserve"> Faculty/instructors are qualified and appropriately credentialed to teach the subject at the assigned level. The institution employs a sufficient number of qualified faculty/instructors to provide individualized instructional service to each student. The institution maintains faculty/instructor</w:t>
      </w:r>
      <w:r w:rsidRPr="0062711B">
        <w:rPr>
          <w:rFonts w:cs="Times New Roman"/>
          <w:sz w:val="24"/>
          <w:szCs w:val="24"/>
        </w:rPr>
        <w:t xml:space="preserve"> résumés</w:t>
      </w:r>
      <w:r>
        <w:rPr>
          <w:rFonts w:cs="Times New Roman"/>
          <w:sz w:val="24"/>
          <w:szCs w:val="24"/>
        </w:rPr>
        <w:t>,</w:t>
      </w:r>
      <w:r w:rsidRPr="00B00553">
        <w:rPr>
          <w:rFonts w:cs="Times New Roman"/>
          <w:sz w:val="24"/>
          <w:szCs w:val="24"/>
        </w:rPr>
        <w:t xml:space="preserve"> official transcripts</w:t>
      </w:r>
      <w:r>
        <w:rPr>
          <w:rFonts w:cs="Times New Roman"/>
          <w:sz w:val="24"/>
          <w:szCs w:val="24"/>
        </w:rPr>
        <w:t>, and copies of applicable licenses or credentials</w:t>
      </w:r>
      <w:r w:rsidRPr="00B00553">
        <w:rPr>
          <w:rFonts w:cs="Times New Roman"/>
          <w:sz w:val="24"/>
          <w:szCs w:val="24"/>
        </w:rPr>
        <w:t xml:space="preserve"> on file. Faculty/instructors are carefully screened for appointment and are properly and continuously trained on institutional policies, learner needs, instructional approaches and techniques, and the use of instructional technology. The institution regularly evaluates faculty </w:t>
      </w:r>
      <w:r>
        <w:rPr>
          <w:rFonts w:cs="Times New Roman"/>
          <w:sz w:val="24"/>
          <w:szCs w:val="24"/>
        </w:rPr>
        <w:t xml:space="preserve">and administrator </w:t>
      </w:r>
      <w:r w:rsidRPr="00B00553">
        <w:rPr>
          <w:rFonts w:cs="Times New Roman"/>
          <w:sz w:val="24"/>
          <w:szCs w:val="24"/>
        </w:rPr>
        <w:t>performance using clear, consistent procedures. The institution assures that faculty are appropriately involved and engaged in the curricul</w:t>
      </w:r>
      <w:r>
        <w:rPr>
          <w:rFonts w:cs="Times New Roman"/>
          <w:sz w:val="24"/>
          <w:szCs w:val="24"/>
        </w:rPr>
        <w:t>ar</w:t>
      </w:r>
      <w:r w:rsidRPr="00B00553">
        <w:rPr>
          <w:rFonts w:cs="Times New Roman"/>
          <w:sz w:val="24"/>
          <w:szCs w:val="24"/>
        </w:rPr>
        <w:t xml:space="preserve"> and instructional aspects of the educational offerings. </w:t>
      </w:r>
      <w:r>
        <w:rPr>
          <w:rFonts w:cs="Times New Roman"/>
          <w:sz w:val="24"/>
          <w:szCs w:val="24"/>
        </w:rPr>
        <w:t>Faculty are assigned responsibilities based on their degree qualifications and/or area(s) of expertise.</w:t>
      </w:r>
    </w:p>
    <w:p w14:paraId="456B929F" w14:textId="77777777" w:rsidR="00656A64" w:rsidRPr="00D125CE" w:rsidRDefault="00656A64" w:rsidP="00656A64">
      <w:pPr>
        <w:spacing w:after="0" w:line="240" w:lineRule="auto"/>
        <w:rPr>
          <w:rFonts w:cs="Times New Roman"/>
        </w:rPr>
      </w:pPr>
    </w:p>
    <w:p w14:paraId="608F10DA" w14:textId="3F8CAAC5" w:rsidR="00656A64" w:rsidRPr="00D125CE" w:rsidRDefault="00656A64" w:rsidP="003E0887">
      <w:pPr>
        <w:numPr>
          <w:ilvl w:val="0"/>
          <w:numId w:val="9"/>
        </w:numPr>
        <w:spacing w:after="0" w:line="240" w:lineRule="auto"/>
        <w:ind w:left="720"/>
        <w:contextualSpacing/>
        <w:rPr>
          <w:rFonts w:cs="Arial"/>
        </w:rPr>
      </w:pPr>
      <w:r w:rsidRPr="00D125CE">
        <w:rPr>
          <w:rFonts w:cs="Arial"/>
        </w:rPr>
        <w:t>If the institution uses external faculty/instructors, technical advisors, researchers, or subject matter specialists</w:t>
      </w:r>
      <w:r w:rsidR="003536BD">
        <w:rPr>
          <w:rFonts w:cs="Arial"/>
        </w:rPr>
        <w:t xml:space="preserve"> to support its international activities</w:t>
      </w:r>
      <w:r w:rsidRPr="00D125CE">
        <w:rPr>
          <w:rFonts w:cs="Arial"/>
        </w:rPr>
        <w:t xml:space="preserve">, describe how they are hired and monitored throughout their engagement. </w:t>
      </w:r>
      <w:r w:rsidRPr="00D125CE">
        <w:rPr>
          <w:rFonts w:cs="Arial"/>
        </w:rPr>
        <w:br/>
      </w:r>
      <w:r w:rsidRPr="00D125CE">
        <w:rPr>
          <w:rFonts w:cs="Arial"/>
        </w:rPr>
        <w:br/>
      </w:r>
    </w:p>
    <w:p w14:paraId="6B866298" w14:textId="77777777" w:rsidR="00656A64" w:rsidRPr="00597D58" w:rsidRDefault="00656A64" w:rsidP="00F3789C">
      <w:pPr>
        <w:ind w:left="720"/>
        <w:contextualSpacing/>
        <w:rPr>
          <w:rFonts w:cs="Arial"/>
        </w:rPr>
      </w:pPr>
    </w:p>
    <w:p w14:paraId="702E7421" w14:textId="77777777" w:rsidR="00656A64" w:rsidRPr="008D38ED" w:rsidRDefault="00656A64" w:rsidP="00CD4E7F">
      <w:pPr>
        <w:pStyle w:val="Heading1"/>
      </w:pPr>
      <w:r w:rsidRPr="008D38ED">
        <w:t>Standard VII: Advertising, Promotional Literature, and Recruitment Personnel</w:t>
      </w:r>
    </w:p>
    <w:p w14:paraId="412A10A5" w14:textId="30DCCBBE" w:rsidR="00656A64" w:rsidRPr="00B00553" w:rsidRDefault="006E2332" w:rsidP="003E0887">
      <w:pPr>
        <w:numPr>
          <w:ilvl w:val="0"/>
          <w:numId w:val="10"/>
        </w:numPr>
        <w:spacing w:after="0" w:line="240" w:lineRule="auto"/>
        <w:contextualSpacing/>
        <w:rPr>
          <w:rFonts w:cs="Times New Roman"/>
          <w:sz w:val="24"/>
          <w:szCs w:val="24"/>
        </w:rPr>
      </w:pPr>
      <w:r w:rsidRPr="00B00553">
        <w:rPr>
          <w:rFonts w:cs="Times New Roman"/>
          <w:b/>
          <w:sz w:val="24"/>
          <w:szCs w:val="24"/>
        </w:rPr>
        <w:t>Advertising and Promotion:</w:t>
      </w:r>
      <w:r w:rsidRPr="00B00553">
        <w:rPr>
          <w:rFonts w:cs="Times New Roman"/>
          <w:sz w:val="24"/>
          <w:szCs w:val="24"/>
        </w:rPr>
        <w:t xml:space="preserve"> The institution conforms to ethical practices in all advertising and promotion to prospective students. All advertisements, website</w:t>
      </w:r>
      <w:r>
        <w:rPr>
          <w:rFonts w:cs="Times New Roman"/>
          <w:sz w:val="24"/>
          <w:szCs w:val="24"/>
        </w:rPr>
        <w:t xml:space="preserve"> content</w:t>
      </w:r>
      <w:r w:rsidRPr="00B00553">
        <w:rPr>
          <w:rFonts w:cs="Times New Roman"/>
          <w:sz w:val="24"/>
          <w:szCs w:val="24"/>
        </w:rPr>
        <w:t>, and promotional literature are truthful, accurate, clear, and readily accessible to the public;</w:t>
      </w:r>
      <w:r>
        <w:rPr>
          <w:rFonts w:cs="Times New Roman"/>
          <w:sz w:val="24"/>
          <w:szCs w:val="24"/>
        </w:rPr>
        <w:t xml:space="preserve"> </w:t>
      </w:r>
      <w:r>
        <w:rPr>
          <w:rFonts w:cs="Times New Roman"/>
          <w:sz w:val="24"/>
          <w:szCs w:val="24"/>
        </w:rPr>
        <w:lastRenderedPageBreak/>
        <w:t xml:space="preserve">proactively states that </w:t>
      </w:r>
      <w:r w:rsidRPr="00B00553">
        <w:rPr>
          <w:rFonts w:cs="Times New Roman"/>
          <w:sz w:val="24"/>
          <w:szCs w:val="24"/>
        </w:rPr>
        <w:t xml:space="preserve">programs are offered via distance education; and appropriately discloses occupational opportunities as applicable. </w:t>
      </w:r>
      <w:r>
        <w:rPr>
          <w:rFonts w:cs="Times New Roman"/>
          <w:sz w:val="24"/>
          <w:szCs w:val="24"/>
        </w:rPr>
        <w:t>C</w:t>
      </w:r>
      <w:r w:rsidRPr="00B00553">
        <w:rPr>
          <w:rFonts w:cs="Times New Roman"/>
          <w:sz w:val="24"/>
          <w:szCs w:val="24"/>
        </w:rPr>
        <w:t xml:space="preserve">atalogs, enrollment agreements, manuals, and websites list the institution’s full name and physical address. At a minimum, all </w:t>
      </w:r>
      <w:r>
        <w:rPr>
          <w:rFonts w:cs="Times New Roman"/>
          <w:sz w:val="24"/>
          <w:szCs w:val="24"/>
        </w:rPr>
        <w:t xml:space="preserve">print </w:t>
      </w:r>
      <w:r w:rsidRPr="00B00553">
        <w:rPr>
          <w:rFonts w:cs="Times New Roman"/>
          <w:sz w:val="24"/>
          <w:szCs w:val="24"/>
        </w:rPr>
        <w:t xml:space="preserve">advertisements </w:t>
      </w:r>
      <w:r>
        <w:rPr>
          <w:rFonts w:cs="Times New Roman"/>
          <w:sz w:val="24"/>
          <w:szCs w:val="24"/>
        </w:rPr>
        <w:t xml:space="preserve">and promotional literature </w:t>
      </w:r>
      <w:r w:rsidRPr="00B00553">
        <w:rPr>
          <w:rFonts w:cs="Times New Roman"/>
          <w:sz w:val="24"/>
          <w:szCs w:val="24"/>
        </w:rPr>
        <w:t>include the institution’s city, state, and web</w:t>
      </w:r>
      <w:r>
        <w:rPr>
          <w:rFonts w:cs="Times New Roman"/>
          <w:sz w:val="24"/>
          <w:szCs w:val="24"/>
        </w:rPr>
        <w:t>site</w:t>
      </w:r>
      <w:r w:rsidRPr="00B00553">
        <w:rPr>
          <w:rFonts w:cs="Times New Roman"/>
          <w:sz w:val="24"/>
          <w:szCs w:val="24"/>
        </w:rPr>
        <w:t xml:space="preserve"> </w:t>
      </w:r>
      <w:r>
        <w:rPr>
          <w:rFonts w:cs="Times New Roman"/>
          <w:sz w:val="24"/>
          <w:szCs w:val="24"/>
        </w:rPr>
        <w:t>home page URL where, in compliance with DEAC’s Website Disclosures Checklist, the institution’s physical address is provided</w:t>
      </w:r>
      <w:r w:rsidRPr="00B00553">
        <w:rPr>
          <w:rFonts w:cs="Times New Roman"/>
          <w:sz w:val="24"/>
          <w:szCs w:val="24"/>
        </w:rPr>
        <w:t xml:space="preserve">. </w:t>
      </w:r>
      <w:r>
        <w:rPr>
          <w:rFonts w:cs="Times New Roman"/>
          <w:sz w:val="24"/>
          <w:szCs w:val="24"/>
        </w:rPr>
        <w:t xml:space="preserve">All web-based advertisements provide a link to the institution’s website home page URL. All institutional social media account profiles provide a link to the institution’s website home page URL. </w:t>
      </w:r>
      <w:r w:rsidRPr="00B00553">
        <w:rPr>
          <w:rFonts w:cs="Times New Roman"/>
          <w:sz w:val="24"/>
          <w:szCs w:val="24"/>
        </w:rPr>
        <w:t xml:space="preserve">The institution complies with the </w:t>
      </w:r>
      <w:r>
        <w:rPr>
          <w:rFonts w:cs="Times New Roman"/>
          <w:sz w:val="24"/>
          <w:szCs w:val="24"/>
        </w:rPr>
        <w:t>DEAC’s Catalog Disclosures Checklist and DEAC’s Website Disclosures Checklist</w:t>
      </w:r>
      <w:r w:rsidRPr="00B00553">
        <w:rPr>
          <w:rFonts w:cs="Times New Roman"/>
          <w:sz w:val="24"/>
          <w:szCs w:val="24"/>
        </w:rPr>
        <w:t>.</w:t>
      </w:r>
      <w:r w:rsidR="00656A64" w:rsidRPr="00B00553">
        <w:rPr>
          <w:rFonts w:cs="Times New Roman"/>
          <w:sz w:val="24"/>
          <w:szCs w:val="24"/>
        </w:rPr>
        <w:t xml:space="preserve"> </w:t>
      </w:r>
    </w:p>
    <w:p w14:paraId="05CD711F" w14:textId="77777777" w:rsidR="00656A64" w:rsidRPr="00CD4E7F" w:rsidRDefault="00656A64" w:rsidP="00656A64">
      <w:pPr>
        <w:spacing w:after="0" w:line="240" w:lineRule="auto"/>
        <w:ind w:left="720"/>
        <w:contextualSpacing/>
        <w:rPr>
          <w:rFonts w:cs="Times New Roman"/>
        </w:rPr>
      </w:pPr>
    </w:p>
    <w:p w14:paraId="35796A4F" w14:textId="1BA31E36" w:rsidR="00656A64" w:rsidRPr="00F3789C" w:rsidRDefault="00656A64" w:rsidP="003E0887">
      <w:pPr>
        <w:pStyle w:val="ListParagraph"/>
        <w:numPr>
          <w:ilvl w:val="0"/>
          <w:numId w:val="23"/>
        </w:numPr>
        <w:spacing w:after="0" w:line="240" w:lineRule="auto"/>
        <w:rPr>
          <w:rFonts w:cs="Arial"/>
        </w:rPr>
      </w:pPr>
      <w:r w:rsidRPr="00F3789C">
        <w:rPr>
          <w:rFonts w:cs="Arial"/>
        </w:rPr>
        <w:t xml:space="preserve">Describe </w:t>
      </w:r>
      <w:r w:rsidR="009C1D46" w:rsidRPr="00F3789C">
        <w:rPr>
          <w:rFonts w:cs="Arial"/>
        </w:rPr>
        <w:t xml:space="preserve">how </w:t>
      </w:r>
      <w:r w:rsidRPr="00F3789C">
        <w:rPr>
          <w:rFonts w:cs="Arial"/>
        </w:rPr>
        <w:t>the institution’s</w:t>
      </w:r>
      <w:r w:rsidR="009C1D46" w:rsidRPr="00F3789C">
        <w:rPr>
          <w:rFonts w:cs="Arial"/>
        </w:rPr>
        <w:t xml:space="preserve"> </w:t>
      </w:r>
      <w:r w:rsidR="00E60CD7" w:rsidRPr="00F3789C">
        <w:rPr>
          <w:rFonts w:cs="Arial"/>
        </w:rPr>
        <w:t>verifies</w:t>
      </w:r>
      <w:r w:rsidR="009C1D46" w:rsidRPr="00F3789C">
        <w:rPr>
          <w:rFonts w:cs="Arial"/>
        </w:rPr>
        <w:t xml:space="preserve"> that international agents or partners conform to ethical practices in all advertising and promotion.</w:t>
      </w:r>
      <w:r w:rsidRPr="00F3789C">
        <w:rPr>
          <w:rFonts w:cs="Arial"/>
        </w:rPr>
        <w:br/>
      </w:r>
      <w:r w:rsidRPr="00F3789C">
        <w:rPr>
          <w:rFonts w:cs="Arial"/>
        </w:rPr>
        <w:br/>
      </w:r>
      <w:r w:rsidRPr="00F3789C">
        <w:rPr>
          <w:rFonts w:cs="Arial"/>
        </w:rPr>
        <w:br/>
      </w:r>
    </w:p>
    <w:p w14:paraId="38FDFCA9" w14:textId="734A68B3" w:rsidR="00656A64" w:rsidRPr="00F3789C" w:rsidRDefault="00656A64" w:rsidP="003E0887">
      <w:pPr>
        <w:pStyle w:val="ListParagraph"/>
        <w:numPr>
          <w:ilvl w:val="0"/>
          <w:numId w:val="23"/>
        </w:numPr>
        <w:spacing w:after="0" w:line="240" w:lineRule="auto"/>
        <w:rPr>
          <w:rFonts w:cs="Arial"/>
        </w:rPr>
      </w:pPr>
      <w:r w:rsidRPr="00F3789C">
        <w:rPr>
          <w:rFonts w:cs="Arial"/>
        </w:rPr>
        <w:t xml:space="preserve">Describe how the institution </w:t>
      </w:r>
      <w:r w:rsidR="00E60CD7" w:rsidRPr="00F3789C">
        <w:rPr>
          <w:rFonts w:cs="Arial"/>
        </w:rPr>
        <w:t>verifies</w:t>
      </w:r>
      <w:r w:rsidRPr="00F3789C">
        <w:rPr>
          <w:rFonts w:cs="Arial"/>
        </w:rPr>
        <w:t xml:space="preserve"> that all advertisements, website content, and promotional materials </w:t>
      </w:r>
      <w:r w:rsidR="00A76069" w:rsidRPr="00F3789C">
        <w:rPr>
          <w:rFonts w:cs="Arial"/>
        </w:rPr>
        <w:t xml:space="preserve">produced by international agents or partners </w:t>
      </w:r>
      <w:r w:rsidRPr="00F3789C">
        <w:rPr>
          <w:rFonts w:cs="Arial"/>
        </w:rPr>
        <w:t xml:space="preserve">are truthful, accurate, clear, and readily accessible to the public; proactively state that programs are offered via distance education; and appropriately disclose occupational opportunities, as applicable. </w:t>
      </w:r>
      <w:r w:rsidRPr="00F3789C">
        <w:rPr>
          <w:rFonts w:cs="Arial"/>
        </w:rPr>
        <w:br/>
      </w:r>
      <w:r w:rsidRPr="00F3789C">
        <w:rPr>
          <w:rFonts w:cs="Arial"/>
        </w:rPr>
        <w:br/>
      </w:r>
      <w:r w:rsidRPr="00F3789C">
        <w:rPr>
          <w:rFonts w:cs="Arial"/>
        </w:rPr>
        <w:br/>
      </w:r>
    </w:p>
    <w:p w14:paraId="11187A52" w14:textId="77777777" w:rsidR="00656A64" w:rsidRPr="008742DD" w:rsidRDefault="00656A64" w:rsidP="003E0887">
      <w:pPr>
        <w:numPr>
          <w:ilvl w:val="0"/>
          <w:numId w:val="24"/>
        </w:numPr>
        <w:spacing w:after="0" w:line="240" w:lineRule="auto"/>
        <w:contextualSpacing/>
        <w:rPr>
          <w:rFonts w:cs="Times New Roman"/>
          <w:sz w:val="24"/>
          <w:szCs w:val="24"/>
        </w:rPr>
      </w:pPr>
      <w:r w:rsidRPr="008742DD">
        <w:rPr>
          <w:rFonts w:cs="Times New Roman"/>
          <w:b/>
          <w:sz w:val="24"/>
          <w:szCs w:val="24"/>
        </w:rPr>
        <w:t xml:space="preserve">Student Recruitment: </w:t>
      </w:r>
      <w:r w:rsidRPr="008742DD">
        <w:rPr>
          <w:rFonts w:cs="Times New Roman"/>
          <w:sz w:val="24"/>
          <w:szCs w:val="24"/>
        </w:rPr>
        <w:t xml:space="preserve">The institution demonstrates ethical processes and procedures are followed throughout the recruitment of prospective </w:t>
      </w:r>
      <w:r w:rsidRPr="00243579">
        <w:rPr>
          <w:rFonts w:cs="Times New Roman"/>
          <w:sz w:val="24"/>
          <w:szCs w:val="24"/>
        </w:rPr>
        <w:t>students by any individual who is authorized by the institution to participate in the enrollment process with</w:t>
      </w:r>
      <w:r w:rsidRPr="008742DD">
        <w:rPr>
          <w:rFonts w:cs="Times New Roman"/>
          <w:sz w:val="24"/>
          <w:szCs w:val="24"/>
        </w:rPr>
        <w:t xml:space="preserve"> prospective students. Minimum ethical practices and procedures are identified below. </w:t>
      </w:r>
    </w:p>
    <w:p w14:paraId="73195C13" w14:textId="77777777" w:rsidR="00656A64" w:rsidRPr="00FD3A9E" w:rsidRDefault="00656A64" w:rsidP="00656A64">
      <w:pPr>
        <w:spacing w:after="0" w:line="240" w:lineRule="auto"/>
        <w:ind w:left="720"/>
        <w:contextualSpacing/>
        <w:rPr>
          <w:rFonts w:cs="Arial"/>
          <w:b/>
        </w:rPr>
      </w:pPr>
    </w:p>
    <w:p w14:paraId="2EEE3F43" w14:textId="25267A7E" w:rsidR="00656A64" w:rsidRPr="00FD3A9E" w:rsidRDefault="00656A64" w:rsidP="003E0887">
      <w:pPr>
        <w:numPr>
          <w:ilvl w:val="0"/>
          <w:numId w:val="25"/>
        </w:numPr>
        <w:spacing w:after="0" w:line="240" w:lineRule="auto"/>
        <w:contextualSpacing/>
        <w:rPr>
          <w:rFonts w:cs="Arial"/>
        </w:rPr>
      </w:pPr>
      <w:r w:rsidRPr="00FD3A9E">
        <w:rPr>
          <w:rFonts w:cs="Arial"/>
        </w:rPr>
        <w:t xml:space="preserve">Describe the process used </w:t>
      </w:r>
      <w:r w:rsidR="00A76069">
        <w:rPr>
          <w:rFonts w:cs="Arial"/>
        </w:rPr>
        <w:t xml:space="preserve">by any international agents or partners </w:t>
      </w:r>
      <w:r w:rsidRPr="00FD3A9E">
        <w:rPr>
          <w:rFonts w:cs="Arial"/>
        </w:rPr>
        <w:t xml:space="preserve">to enroll prospective students. </w:t>
      </w:r>
      <w:r w:rsidRPr="00FD3A9E">
        <w:rPr>
          <w:rFonts w:cs="Arial"/>
        </w:rPr>
        <w:br/>
      </w:r>
      <w:r w:rsidRPr="00FD3A9E">
        <w:rPr>
          <w:rFonts w:cs="Arial"/>
        </w:rPr>
        <w:br/>
      </w:r>
      <w:r w:rsidRPr="00FD3A9E">
        <w:rPr>
          <w:rFonts w:cs="Arial"/>
        </w:rPr>
        <w:br/>
      </w:r>
    </w:p>
    <w:p w14:paraId="14A15A7A" w14:textId="7E839F96" w:rsidR="00656A64" w:rsidRPr="00FD3A9E" w:rsidRDefault="00656A64" w:rsidP="003E0887">
      <w:pPr>
        <w:numPr>
          <w:ilvl w:val="0"/>
          <w:numId w:val="25"/>
        </w:numPr>
        <w:spacing w:after="0" w:line="240" w:lineRule="auto"/>
        <w:contextualSpacing/>
        <w:rPr>
          <w:rFonts w:cs="Times New Roman"/>
        </w:rPr>
      </w:pPr>
      <w:r w:rsidRPr="00FD3A9E">
        <w:rPr>
          <w:rFonts w:cs="Arial"/>
        </w:rPr>
        <w:t xml:space="preserve">Describe the institution’s job description for </w:t>
      </w:r>
      <w:r>
        <w:rPr>
          <w:rFonts w:cs="Arial"/>
        </w:rPr>
        <w:t xml:space="preserve">any </w:t>
      </w:r>
      <w:r w:rsidR="00A76069">
        <w:rPr>
          <w:rFonts w:cs="Arial"/>
        </w:rPr>
        <w:t xml:space="preserve">internationally based </w:t>
      </w:r>
      <w:r>
        <w:rPr>
          <w:rFonts w:cs="Arial"/>
        </w:rPr>
        <w:t xml:space="preserve">individuals authorized to participate in the student enrollment and any </w:t>
      </w:r>
      <w:r w:rsidR="00A76069">
        <w:rPr>
          <w:rFonts w:cs="Arial"/>
        </w:rPr>
        <w:t xml:space="preserve">internationally based </w:t>
      </w:r>
      <w:r>
        <w:rPr>
          <w:rFonts w:cs="Arial"/>
        </w:rPr>
        <w:t>individual whose job responsibilities include regular participation in the student enrollment process</w:t>
      </w:r>
      <w:r w:rsidRPr="00FD3A9E">
        <w:rPr>
          <w:rFonts w:cs="Arial"/>
        </w:rPr>
        <w:t>.</w:t>
      </w:r>
      <w:r w:rsidRPr="00FD3A9E">
        <w:rPr>
          <w:rFonts w:cs="Arial"/>
        </w:rPr>
        <w:br/>
      </w:r>
      <w:r w:rsidRPr="00FD3A9E">
        <w:rPr>
          <w:rFonts w:cs="Arial"/>
        </w:rPr>
        <w:br/>
      </w:r>
      <w:r w:rsidRPr="00FD3A9E">
        <w:rPr>
          <w:rFonts w:cs="Times New Roman"/>
        </w:rPr>
        <w:br/>
      </w:r>
    </w:p>
    <w:p w14:paraId="0D18A735" w14:textId="612547F5" w:rsidR="00656A64" w:rsidRPr="00B00553" w:rsidRDefault="009543CE" w:rsidP="003E0887">
      <w:pPr>
        <w:numPr>
          <w:ilvl w:val="1"/>
          <w:numId w:val="24"/>
        </w:numPr>
        <w:spacing w:after="0" w:line="240" w:lineRule="auto"/>
        <w:contextualSpacing/>
        <w:rPr>
          <w:rFonts w:cs="Times New Roman"/>
          <w:sz w:val="24"/>
          <w:szCs w:val="24"/>
        </w:rPr>
      </w:pPr>
      <w:r w:rsidRPr="003E0C2C">
        <w:rPr>
          <w:rFonts w:cstheme="minorHAnsi"/>
          <w:sz w:val="24"/>
          <w:szCs w:val="24"/>
        </w:rPr>
        <w:t xml:space="preserve">The institution takes full responsibility for the actions, statements, and conduct of its authorized recruitment personnel. The institution maintains appropriate records, licensures, registrations, signed employment contract, and signed DEAC Code of Ethics, as applicable for all recruitment personnel. The institution demonstrates it adequately trains its recruitment personnel and provides them with accurate information concerning employment and remuneration. All authorized recruitment personnel are provided with appropriate materials covering applicable procedures, policies, and presentations. The institution demonstrates that it routinely monitors its recruitment </w:t>
      </w:r>
      <w:r w:rsidRPr="003E0C2C">
        <w:rPr>
          <w:rFonts w:cstheme="minorHAnsi"/>
          <w:sz w:val="24"/>
          <w:szCs w:val="24"/>
        </w:rPr>
        <w:lastRenderedPageBreak/>
        <w:t>personnel or independent organizations that provide prospective applicants names to assure they are in compliance with all state, federal, and DEAC recruitment practices.</w:t>
      </w:r>
      <w:r w:rsidR="00656A64" w:rsidRPr="00B00553">
        <w:rPr>
          <w:rFonts w:cs="Times New Roman"/>
          <w:sz w:val="24"/>
          <w:szCs w:val="24"/>
        </w:rPr>
        <w:t xml:space="preserve"> </w:t>
      </w:r>
    </w:p>
    <w:p w14:paraId="05D3482A" w14:textId="77777777" w:rsidR="00656A64" w:rsidRPr="00FD3A9E" w:rsidRDefault="00656A64" w:rsidP="00656A64">
      <w:pPr>
        <w:spacing w:after="0" w:line="240" w:lineRule="auto"/>
        <w:ind w:left="1440"/>
        <w:contextualSpacing/>
        <w:rPr>
          <w:rFonts w:cs="Arial"/>
        </w:rPr>
      </w:pPr>
    </w:p>
    <w:p w14:paraId="158437AC" w14:textId="7684C6B2" w:rsidR="00656A64" w:rsidRPr="00FD3A9E" w:rsidRDefault="00656A64" w:rsidP="003E0887">
      <w:pPr>
        <w:numPr>
          <w:ilvl w:val="0"/>
          <w:numId w:val="11"/>
        </w:numPr>
        <w:spacing w:after="0" w:line="240" w:lineRule="auto"/>
        <w:ind w:left="1080"/>
        <w:contextualSpacing/>
        <w:rPr>
          <w:rFonts w:cs="Arial"/>
        </w:rPr>
      </w:pPr>
      <w:r w:rsidRPr="00FD3A9E">
        <w:rPr>
          <w:rFonts w:cs="Arial"/>
        </w:rPr>
        <w:t xml:space="preserve">Describe how the institution supervises and monitors </w:t>
      </w:r>
      <w:r w:rsidR="00A76069">
        <w:rPr>
          <w:rFonts w:cs="Arial"/>
        </w:rPr>
        <w:t xml:space="preserve">internationally based </w:t>
      </w:r>
      <w:r>
        <w:rPr>
          <w:rFonts w:cs="Arial"/>
        </w:rPr>
        <w:t xml:space="preserve">student </w:t>
      </w:r>
      <w:r w:rsidRPr="00FD3A9E">
        <w:rPr>
          <w:rFonts w:cs="Arial"/>
        </w:rPr>
        <w:t>recruitment personnel.</w:t>
      </w:r>
      <w:r w:rsidRPr="00FD3A9E">
        <w:rPr>
          <w:rFonts w:cs="Arial"/>
        </w:rPr>
        <w:br/>
      </w:r>
      <w:r w:rsidRPr="00FD3A9E">
        <w:rPr>
          <w:rFonts w:cs="Arial"/>
        </w:rPr>
        <w:br/>
        <w:t xml:space="preserve"> </w:t>
      </w:r>
      <w:r w:rsidRPr="00FD3A9E">
        <w:rPr>
          <w:rFonts w:cs="Arial"/>
        </w:rPr>
        <w:br/>
      </w:r>
    </w:p>
    <w:p w14:paraId="0C586EBF" w14:textId="072D04C2" w:rsidR="00656A64" w:rsidRPr="00FD3A9E" w:rsidRDefault="00656A64" w:rsidP="003E0887">
      <w:pPr>
        <w:numPr>
          <w:ilvl w:val="0"/>
          <w:numId w:val="11"/>
        </w:numPr>
        <w:spacing w:after="0" w:line="240" w:lineRule="auto"/>
        <w:ind w:left="1080"/>
        <w:contextualSpacing/>
        <w:rPr>
          <w:rFonts w:cs="Arial"/>
        </w:rPr>
      </w:pPr>
      <w:r w:rsidRPr="00FD3A9E">
        <w:rPr>
          <w:rFonts w:cs="Arial"/>
        </w:rPr>
        <w:t xml:space="preserve">Describe the institution’s hiring practices for </w:t>
      </w:r>
      <w:r w:rsidR="007A4380">
        <w:rPr>
          <w:rFonts w:cs="Arial"/>
        </w:rPr>
        <w:t xml:space="preserve">internationally based </w:t>
      </w:r>
      <w:r>
        <w:rPr>
          <w:rFonts w:cs="Arial"/>
        </w:rPr>
        <w:t xml:space="preserve">student </w:t>
      </w:r>
      <w:r w:rsidRPr="00FD3A9E">
        <w:rPr>
          <w:rFonts w:cs="Arial"/>
        </w:rPr>
        <w:t xml:space="preserve">recruitment personnel. </w:t>
      </w:r>
      <w:r w:rsidRPr="00FD3A9E">
        <w:rPr>
          <w:rFonts w:cs="Arial"/>
        </w:rPr>
        <w:br/>
      </w:r>
      <w:r w:rsidRPr="00FD3A9E">
        <w:rPr>
          <w:rFonts w:cs="Arial"/>
        </w:rPr>
        <w:br/>
      </w:r>
      <w:r w:rsidRPr="00FD3A9E">
        <w:rPr>
          <w:rFonts w:cs="Arial"/>
        </w:rPr>
        <w:br/>
      </w:r>
    </w:p>
    <w:p w14:paraId="23920773" w14:textId="262BB069" w:rsidR="00656A64" w:rsidRPr="00FD3A9E" w:rsidRDefault="00656A64" w:rsidP="003E0887">
      <w:pPr>
        <w:numPr>
          <w:ilvl w:val="0"/>
          <w:numId w:val="11"/>
        </w:numPr>
        <w:spacing w:after="0" w:line="240" w:lineRule="auto"/>
        <w:ind w:left="1080"/>
        <w:contextualSpacing/>
        <w:rPr>
          <w:rFonts w:cs="Arial"/>
        </w:rPr>
      </w:pPr>
      <w:r w:rsidRPr="00FD3A9E">
        <w:rPr>
          <w:rFonts w:cs="Arial"/>
        </w:rPr>
        <w:t xml:space="preserve">Describe how the institution </w:t>
      </w:r>
      <w:r w:rsidR="006E2332">
        <w:rPr>
          <w:rFonts w:cs="Arial"/>
        </w:rPr>
        <w:t>verifies</w:t>
      </w:r>
      <w:r w:rsidRPr="00FD3A9E">
        <w:rPr>
          <w:rFonts w:cs="Arial"/>
        </w:rPr>
        <w:t xml:space="preserve"> that </w:t>
      </w:r>
      <w:r w:rsidR="007A4380">
        <w:rPr>
          <w:rFonts w:cs="Arial"/>
        </w:rPr>
        <w:t xml:space="preserve">international </w:t>
      </w:r>
      <w:r w:rsidRPr="00FD3A9E">
        <w:rPr>
          <w:rFonts w:cs="Arial"/>
        </w:rPr>
        <w:t xml:space="preserve">recruitment materials are in compliance with all state, federal, and DEAC recruitment practices. </w:t>
      </w:r>
      <w:r w:rsidRPr="00FD3A9E">
        <w:rPr>
          <w:rFonts w:cs="Arial"/>
        </w:rPr>
        <w:br/>
      </w:r>
      <w:r w:rsidRPr="00FD3A9E">
        <w:rPr>
          <w:rFonts w:cs="Arial"/>
        </w:rPr>
        <w:br/>
      </w:r>
      <w:r w:rsidRPr="00FD3A9E">
        <w:rPr>
          <w:rFonts w:cs="Arial"/>
        </w:rPr>
        <w:br/>
      </w:r>
    </w:p>
    <w:p w14:paraId="34349EF8" w14:textId="56A977F0" w:rsidR="00656A64" w:rsidRPr="00FD3A9E" w:rsidRDefault="00656A64" w:rsidP="003E0887">
      <w:pPr>
        <w:numPr>
          <w:ilvl w:val="0"/>
          <w:numId w:val="11"/>
        </w:numPr>
        <w:spacing w:after="0" w:line="240" w:lineRule="auto"/>
        <w:ind w:left="1080"/>
        <w:contextualSpacing/>
        <w:rPr>
          <w:rFonts w:cs="Times New Roman"/>
        </w:rPr>
      </w:pPr>
      <w:r w:rsidRPr="00FD3A9E">
        <w:rPr>
          <w:rFonts w:cs="Arial"/>
        </w:rPr>
        <w:t xml:space="preserve">Describe the process and criteria used to evaluate </w:t>
      </w:r>
      <w:r w:rsidR="007A4380">
        <w:rPr>
          <w:rFonts w:cs="Arial"/>
        </w:rPr>
        <w:t xml:space="preserve">internationally based </w:t>
      </w:r>
      <w:r>
        <w:rPr>
          <w:rFonts w:cs="Arial"/>
        </w:rPr>
        <w:t xml:space="preserve">student </w:t>
      </w:r>
      <w:r w:rsidRPr="00FD3A9E">
        <w:rPr>
          <w:rFonts w:cs="Arial"/>
        </w:rPr>
        <w:t xml:space="preserve">recruitment personnel. </w:t>
      </w:r>
      <w:r w:rsidRPr="00FD3A9E">
        <w:rPr>
          <w:rFonts w:cs="Arial"/>
        </w:rPr>
        <w:br/>
      </w:r>
    </w:p>
    <w:p w14:paraId="61C361EA" w14:textId="77777777" w:rsidR="00656A64" w:rsidRPr="00FD3A9E" w:rsidRDefault="00656A64" w:rsidP="00F3789C">
      <w:pPr>
        <w:spacing w:after="0" w:line="240" w:lineRule="auto"/>
        <w:ind w:left="1080"/>
        <w:contextualSpacing/>
        <w:rPr>
          <w:rFonts w:cs="Times New Roman"/>
        </w:rPr>
      </w:pPr>
      <w:r w:rsidRPr="00FD3A9E">
        <w:rPr>
          <w:rFonts w:cs="Arial"/>
        </w:rPr>
        <w:br/>
      </w:r>
    </w:p>
    <w:p w14:paraId="1F903556" w14:textId="1DAE112B" w:rsidR="00656A64" w:rsidRPr="00B00553" w:rsidRDefault="009543CE" w:rsidP="003E0887">
      <w:pPr>
        <w:numPr>
          <w:ilvl w:val="1"/>
          <w:numId w:val="24"/>
        </w:numPr>
        <w:spacing w:after="0" w:line="240" w:lineRule="auto"/>
        <w:contextualSpacing/>
        <w:rPr>
          <w:rFonts w:cs="Times New Roman"/>
          <w:sz w:val="24"/>
          <w:szCs w:val="24"/>
        </w:rPr>
      </w:pPr>
      <w:r w:rsidRPr="003E0C2C">
        <w:rPr>
          <w:rFonts w:cstheme="minorHAnsi"/>
          <w:sz w:val="24"/>
          <w:szCs w:val="24"/>
        </w:rPr>
        <w:t xml:space="preserve">All </w:t>
      </w:r>
      <w:r>
        <w:rPr>
          <w:rFonts w:cstheme="minorHAnsi"/>
          <w:sz w:val="24"/>
          <w:szCs w:val="24"/>
        </w:rPr>
        <w:t xml:space="preserve">personnel involved in </w:t>
      </w:r>
      <w:r w:rsidRPr="003E0C2C">
        <w:rPr>
          <w:rFonts w:cstheme="minorHAnsi"/>
          <w:sz w:val="24"/>
          <w:szCs w:val="24"/>
        </w:rPr>
        <w:t xml:space="preserve">student recruitment, including telemarketing staff, conform to applicable federal, state, and international laws. </w:t>
      </w:r>
      <w:r>
        <w:rPr>
          <w:rFonts w:cstheme="minorHAnsi"/>
          <w:sz w:val="24"/>
          <w:szCs w:val="24"/>
        </w:rPr>
        <w:t>Personnel involved in studen</w:t>
      </w:r>
      <w:r w:rsidRPr="003E0C2C">
        <w:rPr>
          <w:rFonts w:cstheme="minorHAnsi"/>
          <w:sz w:val="24"/>
          <w:szCs w:val="24"/>
        </w:rPr>
        <w:t>t recruitment may not be given and may not use any title that indicates special qualifications for career guidance, advising, or registration, nor may they publish advertisements without written authorization from the institution.</w:t>
      </w:r>
      <w:r w:rsidR="00656A64" w:rsidRPr="00B00553">
        <w:rPr>
          <w:rFonts w:cs="Times New Roman"/>
          <w:sz w:val="24"/>
          <w:szCs w:val="24"/>
        </w:rPr>
        <w:t xml:space="preserve"> </w:t>
      </w:r>
    </w:p>
    <w:p w14:paraId="7A5AEA39" w14:textId="77777777" w:rsidR="00656A64" w:rsidRPr="00F04F1F" w:rsidRDefault="00656A64" w:rsidP="00656A64">
      <w:pPr>
        <w:spacing w:after="0" w:line="240" w:lineRule="auto"/>
        <w:ind w:left="1440"/>
        <w:contextualSpacing/>
        <w:rPr>
          <w:rFonts w:cs="Arial"/>
        </w:rPr>
      </w:pPr>
    </w:p>
    <w:p w14:paraId="0CD87F93" w14:textId="22328187" w:rsidR="00656A64" w:rsidRPr="00F04F1F" w:rsidRDefault="00656A64" w:rsidP="003E0887">
      <w:pPr>
        <w:numPr>
          <w:ilvl w:val="0"/>
          <w:numId w:val="26"/>
        </w:numPr>
        <w:spacing w:after="0" w:line="240" w:lineRule="auto"/>
        <w:contextualSpacing/>
        <w:rPr>
          <w:rFonts w:cs="Arial"/>
        </w:rPr>
      </w:pPr>
      <w:r>
        <w:rPr>
          <w:rFonts w:cs="Arial"/>
        </w:rPr>
        <w:t xml:space="preserve">Describe how the institution </w:t>
      </w:r>
      <w:r w:rsidR="006E2332">
        <w:rPr>
          <w:rFonts w:cs="Arial"/>
        </w:rPr>
        <w:t>verifies</w:t>
      </w:r>
      <w:r>
        <w:rPr>
          <w:rFonts w:cs="Arial"/>
        </w:rPr>
        <w:t xml:space="preserve"> that </w:t>
      </w:r>
      <w:r w:rsidR="007A4380">
        <w:rPr>
          <w:rFonts w:cs="Arial"/>
        </w:rPr>
        <w:t xml:space="preserve">internationally based </w:t>
      </w:r>
      <w:r>
        <w:rPr>
          <w:rFonts w:cs="Arial"/>
        </w:rPr>
        <w:t>student recruitment personnel conform to applicable federal, state, and international laws.</w:t>
      </w:r>
      <w:r w:rsidRPr="00F04F1F">
        <w:rPr>
          <w:rFonts w:cs="Arial"/>
        </w:rPr>
        <w:br/>
      </w:r>
      <w:r w:rsidRPr="00F04F1F">
        <w:rPr>
          <w:rFonts w:cs="Arial"/>
        </w:rPr>
        <w:br/>
      </w:r>
      <w:r w:rsidRPr="00F04F1F">
        <w:rPr>
          <w:rFonts w:cs="Arial"/>
        </w:rPr>
        <w:br/>
      </w:r>
    </w:p>
    <w:p w14:paraId="3727802D" w14:textId="77777777" w:rsidR="00656A64" w:rsidRPr="008D38ED" w:rsidRDefault="00656A64" w:rsidP="00CD4E7F">
      <w:pPr>
        <w:pStyle w:val="Heading1"/>
      </w:pPr>
      <w:bookmarkStart w:id="0" w:name="_GoBack"/>
      <w:bookmarkEnd w:id="0"/>
      <w:r w:rsidRPr="008D38ED">
        <w:t>Standard IX: Financial Disclosures, Cancellations, and Refund Policies</w:t>
      </w:r>
    </w:p>
    <w:p w14:paraId="016D1485" w14:textId="77777777" w:rsidR="00656A64" w:rsidRPr="00B00553" w:rsidRDefault="00656A64" w:rsidP="003E0887">
      <w:pPr>
        <w:numPr>
          <w:ilvl w:val="0"/>
          <w:numId w:val="12"/>
        </w:numPr>
        <w:spacing w:after="0" w:line="240" w:lineRule="auto"/>
        <w:contextualSpacing/>
        <w:rPr>
          <w:rFonts w:eastAsia="Times New Roman" w:cs="Times New Roman"/>
          <w:sz w:val="24"/>
          <w:szCs w:val="24"/>
        </w:rPr>
      </w:pPr>
      <w:r w:rsidRPr="00B00553">
        <w:rPr>
          <w:rFonts w:cs="Times New Roman"/>
          <w:b/>
          <w:sz w:val="24"/>
          <w:szCs w:val="24"/>
        </w:rPr>
        <w:t>Financial Disclosures:</w:t>
      </w:r>
      <w:r w:rsidRPr="00B00553">
        <w:rPr>
          <w:rFonts w:cs="Times New Roman"/>
          <w:sz w:val="24"/>
          <w:szCs w:val="24"/>
        </w:rPr>
        <w:t xml:space="preserve"> </w:t>
      </w:r>
      <w:r w:rsidRPr="00B00553">
        <w:rPr>
          <w:rFonts w:eastAsia="Times New Roman" w:cs="Times New Roman"/>
          <w:sz w:val="24"/>
          <w:szCs w:val="24"/>
        </w:rPr>
        <w:t>All costs relative to the education provided by the institution are disclosed to the prospective student [</w:t>
      </w:r>
      <w:r>
        <w:rPr>
          <w:rFonts w:eastAsia="Times New Roman" w:cs="Times New Roman"/>
          <w:sz w:val="24"/>
          <w:szCs w:val="24"/>
        </w:rPr>
        <w:t>i</w:t>
      </w:r>
      <w:r w:rsidRPr="00B00553">
        <w:rPr>
          <w:rFonts w:eastAsia="Times New Roman" w:cs="Times New Roman"/>
          <w:sz w:val="24"/>
          <w:szCs w:val="24"/>
        </w:rPr>
        <w:t>n an enrollment agreement or similar contractual document] before enrollment. Costs must include tuition, educational services, textbooks, and instructional materials</w:t>
      </w:r>
      <w:r>
        <w:rPr>
          <w:rFonts w:eastAsia="Times New Roman" w:cs="Times New Roman"/>
          <w:sz w:val="24"/>
          <w:szCs w:val="24"/>
        </w:rPr>
        <w:t>;</w:t>
      </w:r>
      <w:r w:rsidRPr="00B00553">
        <w:rPr>
          <w:rFonts w:eastAsia="Times New Roman" w:cs="Times New Roman"/>
          <w:sz w:val="24"/>
          <w:szCs w:val="24"/>
        </w:rPr>
        <w:t xml:space="preserve"> any specific fees associated with enrollment, such as application and registration fees</w:t>
      </w:r>
      <w:r>
        <w:rPr>
          <w:rFonts w:eastAsia="Times New Roman" w:cs="Times New Roman"/>
          <w:sz w:val="24"/>
          <w:szCs w:val="24"/>
        </w:rPr>
        <w:t>;</w:t>
      </w:r>
      <w:r w:rsidRPr="00B00553">
        <w:rPr>
          <w:rFonts w:eastAsia="Times New Roman" w:cs="Times New Roman"/>
          <w:sz w:val="24"/>
          <w:szCs w:val="24"/>
        </w:rPr>
        <w:t xml:space="preserve"> and fees for required services such as student authentication, proctoring, technology access, and library services.</w:t>
      </w:r>
    </w:p>
    <w:p w14:paraId="50B8E172" w14:textId="77777777" w:rsidR="00656A64" w:rsidRPr="00967A70" w:rsidRDefault="00656A64" w:rsidP="00656A64">
      <w:pPr>
        <w:spacing w:after="0" w:line="240" w:lineRule="auto"/>
        <w:ind w:left="720"/>
        <w:contextualSpacing/>
        <w:rPr>
          <w:rFonts w:cs="Arial"/>
          <w:b/>
        </w:rPr>
      </w:pPr>
    </w:p>
    <w:p w14:paraId="5FADB5EB" w14:textId="75183004" w:rsidR="00656A64" w:rsidRPr="00967A70" w:rsidRDefault="00656A64" w:rsidP="003E0887">
      <w:pPr>
        <w:numPr>
          <w:ilvl w:val="0"/>
          <w:numId w:val="27"/>
        </w:numPr>
        <w:spacing w:after="0" w:line="240" w:lineRule="auto"/>
        <w:contextualSpacing/>
        <w:rPr>
          <w:rFonts w:eastAsia="Times New Roman" w:cs="Arial"/>
        </w:rPr>
      </w:pPr>
      <w:r w:rsidRPr="00967A70">
        <w:rPr>
          <w:rFonts w:eastAsia="Times New Roman" w:cs="Arial"/>
        </w:rPr>
        <w:t>Describe how the costs associated with the education provided</w:t>
      </w:r>
      <w:r w:rsidR="00DA4DE1">
        <w:rPr>
          <w:rFonts w:eastAsia="Times New Roman" w:cs="Arial"/>
        </w:rPr>
        <w:t xml:space="preserve"> are disclosed to students engaging at international sites or who engage with internationally based institution staff, agents, or affiliate partners</w:t>
      </w:r>
      <w:r w:rsidRPr="00967A70">
        <w:rPr>
          <w:rFonts w:eastAsia="Times New Roman" w:cs="Arial"/>
        </w:rPr>
        <w:t xml:space="preserve">. </w:t>
      </w:r>
      <w:r w:rsidRPr="00967A70">
        <w:rPr>
          <w:rFonts w:eastAsia="Times New Roman" w:cs="Arial"/>
        </w:rPr>
        <w:br/>
      </w:r>
      <w:r w:rsidRPr="00967A70">
        <w:rPr>
          <w:rFonts w:eastAsia="Times New Roman" w:cs="Arial"/>
        </w:rPr>
        <w:lastRenderedPageBreak/>
        <w:br/>
      </w:r>
      <w:r w:rsidRPr="00967A70">
        <w:rPr>
          <w:rFonts w:eastAsia="Times New Roman" w:cs="Arial"/>
        </w:rPr>
        <w:br/>
      </w:r>
    </w:p>
    <w:p w14:paraId="1CDB8ACC" w14:textId="77777777" w:rsidR="00656A64" w:rsidRPr="008D38ED" w:rsidRDefault="00656A64" w:rsidP="00CD4E7F">
      <w:pPr>
        <w:pStyle w:val="Heading1"/>
      </w:pPr>
      <w:r w:rsidRPr="008D38ED">
        <w:t xml:space="preserve">Standard XII: Facilities, Equipment, Supplies, Record Protection and Retention </w:t>
      </w:r>
    </w:p>
    <w:p w14:paraId="2D687AB1" w14:textId="77777777" w:rsidR="00656A64" w:rsidRPr="00D84162" w:rsidRDefault="00656A64" w:rsidP="003E0887">
      <w:pPr>
        <w:numPr>
          <w:ilvl w:val="0"/>
          <w:numId w:val="2"/>
        </w:numPr>
        <w:spacing w:after="0" w:line="240" w:lineRule="auto"/>
        <w:contextualSpacing/>
        <w:rPr>
          <w:rFonts w:cs="Times New Roman"/>
          <w:sz w:val="24"/>
          <w:szCs w:val="24"/>
        </w:rPr>
      </w:pPr>
      <w:r w:rsidRPr="00D84162">
        <w:rPr>
          <w:rFonts w:cs="Times New Roman"/>
          <w:b/>
          <w:sz w:val="24"/>
          <w:szCs w:val="24"/>
        </w:rPr>
        <w:t>Facilities, Equipment, and Supplies:</w:t>
      </w:r>
      <w:r w:rsidRPr="00D84162">
        <w:rPr>
          <w:rFonts w:cs="Times New Roman"/>
          <w:sz w:val="24"/>
          <w:szCs w:val="24"/>
        </w:rPr>
        <w:t xml:space="preserve"> The institution maintains sufficient facilities, equipment, and supplies to achieve its mission and values and support its educational offerings and future </w:t>
      </w:r>
      <w:r>
        <w:rPr>
          <w:rFonts w:cs="Times New Roman"/>
          <w:sz w:val="24"/>
          <w:szCs w:val="24"/>
        </w:rPr>
        <w:t>operations</w:t>
      </w:r>
      <w:r w:rsidRPr="00D84162">
        <w:rPr>
          <w:rFonts w:cs="Times New Roman"/>
          <w:sz w:val="24"/>
          <w:szCs w:val="24"/>
        </w:rPr>
        <w:t xml:space="preserve">. A written plan outlines the maintenance and upgrade of facilities, equipment, and supplies and includes a disaster response and recovery plan. The plan states the resources that are budgeted to support its goals. Buildings, workspace, and equipment comply with local fire, building, health, and safety regulations and are </w:t>
      </w:r>
      <w:r>
        <w:rPr>
          <w:rFonts w:cs="Times New Roman"/>
          <w:sz w:val="24"/>
          <w:szCs w:val="24"/>
        </w:rPr>
        <w:t xml:space="preserve">appropriately </w:t>
      </w:r>
      <w:r w:rsidRPr="00D84162">
        <w:rPr>
          <w:rFonts w:cs="Times New Roman"/>
          <w:sz w:val="24"/>
          <w:szCs w:val="24"/>
        </w:rPr>
        <w:t xml:space="preserve">equipped to handle the educational program(s) of the institution. </w:t>
      </w:r>
    </w:p>
    <w:p w14:paraId="1C37B630" w14:textId="77777777" w:rsidR="00656A64" w:rsidRPr="00E20F22" w:rsidRDefault="00656A64" w:rsidP="00656A64">
      <w:pPr>
        <w:spacing w:after="0" w:line="240" w:lineRule="auto"/>
        <w:ind w:left="720"/>
        <w:contextualSpacing/>
        <w:rPr>
          <w:rFonts w:cs="Arial"/>
          <w:color w:val="0000FF"/>
        </w:rPr>
      </w:pPr>
    </w:p>
    <w:p w14:paraId="4C61EBE0" w14:textId="77777777" w:rsidR="004F7E15" w:rsidRDefault="00656A64" w:rsidP="003E0887">
      <w:pPr>
        <w:numPr>
          <w:ilvl w:val="0"/>
          <w:numId w:val="13"/>
        </w:numPr>
        <w:spacing w:after="0" w:line="240" w:lineRule="auto"/>
        <w:ind w:left="720"/>
        <w:contextualSpacing/>
        <w:rPr>
          <w:rFonts w:cs="Arial"/>
        </w:rPr>
      </w:pPr>
      <w:r w:rsidRPr="004F7E15">
        <w:rPr>
          <w:rFonts w:cs="Arial"/>
        </w:rPr>
        <w:t xml:space="preserve">Describe how the institution’s </w:t>
      </w:r>
      <w:r w:rsidR="00AE1F04" w:rsidRPr="004F7E15">
        <w:rPr>
          <w:rFonts w:cs="Arial"/>
        </w:rPr>
        <w:t xml:space="preserve">international </w:t>
      </w:r>
      <w:r w:rsidRPr="004F7E15">
        <w:rPr>
          <w:rFonts w:cs="Arial"/>
        </w:rPr>
        <w:t>facilities, equipment, and supplies promote the achievement of its mission and values.</w:t>
      </w:r>
    </w:p>
    <w:p w14:paraId="683BAFB9" w14:textId="77777777" w:rsidR="004F7E15" w:rsidRDefault="004F7E15" w:rsidP="00F3789C">
      <w:pPr>
        <w:spacing w:after="0" w:line="240" w:lineRule="auto"/>
        <w:ind w:left="720"/>
        <w:contextualSpacing/>
        <w:rPr>
          <w:rFonts w:cs="Arial"/>
        </w:rPr>
      </w:pPr>
    </w:p>
    <w:p w14:paraId="0268432F" w14:textId="77777777" w:rsidR="004F7E15" w:rsidRDefault="004F7E15" w:rsidP="00F3789C">
      <w:pPr>
        <w:spacing w:after="0" w:line="240" w:lineRule="auto"/>
        <w:ind w:left="720"/>
        <w:contextualSpacing/>
        <w:rPr>
          <w:rFonts w:cs="Arial"/>
        </w:rPr>
      </w:pPr>
    </w:p>
    <w:p w14:paraId="7FAFB3BE" w14:textId="4C860896" w:rsidR="00656A64" w:rsidRPr="00656A64" w:rsidRDefault="00656A64" w:rsidP="00F3789C">
      <w:pPr>
        <w:spacing w:after="0" w:line="240" w:lineRule="auto"/>
        <w:ind w:left="720"/>
        <w:contextualSpacing/>
        <w:rPr>
          <w:rFonts w:cs="Arial"/>
        </w:rPr>
      </w:pPr>
    </w:p>
    <w:sectPr w:rsidR="00656A64" w:rsidRPr="00656A64">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E8DC" w16cex:dateUtc="2020-06-12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ABB7D3" w16cid:durableId="228DE8D2"/>
  <w16cid:commentId w16cid:paraId="0546A2B9" w16cid:durableId="228DE8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85231" w14:textId="77777777" w:rsidR="00C91326" w:rsidRDefault="00C91326" w:rsidP="00C20A09">
      <w:pPr>
        <w:spacing w:after="0" w:line="240" w:lineRule="auto"/>
      </w:pPr>
      <w:r>
        <w:separator/>
      </w:r>
    </w:p>
  </w:endnote>
  <w:endnote w:type="continuationSeparator" w:id="0">
    <w:p w14:paraId="58EAFF0A" w14:textId="77777777" w:rsidR="00C91326" w:rsidRDefault="00C91326" w:rsidP="00C2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B765" w14:textId="6AFAF264" w:rsidR="00CD4E7F" w:rsidRPr="00602BA1" w:rsidRDefault="00602BA1" w:rsidP="00602BA1">
    <w:pPr>
      <w:pStyle w:val="Footer"/>
      <w:rPr>
        <w:rFonts w:cstheme="minorHAnsi"/>
        <w:sz w:val="20"/>
        <w:szCs w:val="20"/>
      </w:rPr>
    </w:pPr>
    <w:r>
      <w:rPr>
        <w:rFonts w:cstheme="minorHAnsi"/>
        <w:sz w:val="20"/>
        <w:szCs w:val="20"/>
      </w:rPr>
      <w:t>Date Adopted: 01.01.2016</w:t>
    </w:r>
    <w:r>
      <w:rPr>
        <w:rFonts w:cstheme="minorHAnsi"/>
        <w:sz w:val="20"/>
        <w:szCs w:val="20"/>
      </w:rPr>
      <w:tab/>
      <w:t>Date Revised: (Handbook 3</w:t>
    </w:r>
    <w:r w:rsidR="009543CE">
      <w:rPr>
        <w:rFonts w:cstheme="minorHAnsi"/>
        <w:sz w:val="20"/>
        <w:szCs w:val="20"/>
      </w:rPr>
      <w:t>1</w:t>
    </w:r>
    <w:r w:rsidR="009543CE">
      <w:rPr>
        <w:rFonts w:cstheme="minorHAnsi"/>
        <w:sz w:val="20"/>
        <w:szCs w:val="20"/>
        <w:vertAlign w:val="superscript"/>
      </w:rPr>
      <w:t>st</w:t>
    </w:r>
    <w:r>
      <w:rPr>
        <w:rFonts w:cstheme="minorHAnsi"/>
        <w:sz w:val="20"/>
        <w:szCs w:val="20"/>
      </w:rPr>
      <w:t xml:space="preserve"> Edition) 0</w:t>
    </w:r>
    <w:r w:rsidR="00403166">
      <w:rPr>
        <w:rFonts w:cstheme="minorHAnsi"/>
        <w:sz w:val="20"/>
        <w:szCs w:val="20"/>
      </w:rPr>
      <w:t>4</w:t>
    </w:r>
    <w:r>
      <w:rPr>
        <w:rFonts w:cstheme="minorHAnsi"/>
        <w:sz w:val="20"/>
        <w:szCs w:val="20"/>
      </w:rPr>
      <w:t>.01.202</w:t>
    </w:r>
    <w:r w:rsidR="009543CE">
      <w:rPr>
        <w:rFonts w:cstheme="minorHAnsi"/>
        <w:sz w:val="20"/>
        <w:szCs w:val="20"/>
      </w:rPr>
      <w:t>2</w:t>
    </w:r>
    <w:r>
      <w:rPr>
        <w:rFonts w:cstheme="minorHAnsi"/>
        <w:sz w:val="20"/>
        <w:szCs w:val="20"/>
      </w:rPr>
      <w:tab/>
      <w:t xml:space="preserve">Page </w:t>
    </w:r>
    <w:r>
      <w:rPr>
        <w:rFonts w:cstheme="minorHAnsi"/>
        <w:bCs/>
        <w:sz w:val="20"/>
        <w:szCs w:val="20"/>
      </w:rPr>
      <w:fldChar w:fldCharType="begin"/>
    </w:r>
    <w:r>
      <w:rPr>
        <w:rFonts w:cstheme="minorHAnsi"/>
        <w:bCs/>
        <w:sz w:val="20"/>
        <w:szCs w:val="20"/>
      </w:rPr>
      <w:instrText xml:space="preserve"> PAGE  \* Arabic  \* MERGEFORMAT </w:instrText>
    </w:r>
    <w:r>
      <w:rPr>
        <w:rFonts w:cstheme="minorHAnsi"/>
        <w:bCs/>
        <w:sz w:val="20"/>
        <w:szCs w:val="20"/>
      </w:rPr>
      <w:fldChar w:fldCharType="separate"/>
    </w:r>
    <w:r w:rsidR="00AC7D5F">
      <w:rPr>
        <w:rFonts w:cstheme="minorHAnsi"/>
        <w:bCs/>
        <w:noProof/>
        <w:sz w:val="20"/>
        <w:szCs w:val="20"/>
      </w:rPr>
      <w:t>7</w:t>
    </w:r>
    <w:r>
      <w:rPr>
        <w:rFonts w:cstheme="minorHAnsi"/>
        <w:bCs/>
        <w:sz w:val="20"/>
        <w:szCs w:val="20"/>
      </w:rPr>
      <w:fldChar w:fldCharType="end"/>
    </w:r>
    <w:r>
      <w:rPr>
        <w:rFonts w:cstheme="minorHAnsi"/>
        <w:sz w:val="20"/>
        <w:szCs w:val="20"/>
      </w:rPr>
      <w:t xml:space="preserve"> of </w:t>
    </w:r>
    <w:r>
      <w:rPr>
        <w:rFonts w:cstheme="minorHAnsi"/>
        <w:bCs/>
        <w:sz w:val="20"/>
        <w:szCs w:val="20"/>
      </w:rPr>
      <w:fldChar w:fldCharType="begin"/>
    </w:r>
    <w:r>
      <w:rPr>
        <w:rFonts w:cstheme="minorHAnsi"/>
        <w:bCs/>
        <w:sz w:val="20"/>
        <w:szCs w:val="20"/>
      </w:rPr>
      <w:instrText xml:space="preserve"> NUMPAGES  \* Arabic  \* MERGEFORMAT </w:instrText>
    </w:r>
    <w:r>
      <w:rPr>
        <w:rFonts w:cstheme="minorHAnsi"/>
        <w:bCs/>
        <w:sz w:val="20"/>
        <w:szCs w:val="20"/>
      </w:rPr>
      <w:fldChar w:fldCharType="separate"/>
    </w:r>
    <w:r w:rsidR="00AC7D5F">
      <w:rPr>
        <w:rFonts w:cstheme="minorHAnsi"/>
        <w:bCs/>
        <w:noProof/>
        <w:sz w:val="20"/>
        <w:szCs w:val="20"/>
      </w:rPr>
      <w:t>7</w:t>
    </w:r>
    <w:r>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4BF5" w14:textId="77777777" w:rsidR="00C91326" w:rsidRDefault="00C91326" w:rsidP="00C20A09">
      <w:pPr>
        <w:spacing w:after="0" w:line="240" w:lineRule="auto"/>
      </w:pPr>
      <w:r>
        <w:separator/>
      </w:r>
    </w:p>
  </w:footnote>
  <w:footnote w:type="continuationSeparator" w:id="0">
    <w:p w14:paraId="5AE6359E" w14:textId="77777777" w:rsidR="00C91326" w:rsidRDefault="00C91326" w:rsidP="00C20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4D3"/>
    <w:multiLevelType w:val="hybridMultilevel"/>
    <w:tmpl w:val="E73EC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63B96"/>
    <w:multiLevelType w:val="multilevel"/>
    <w:tmpl w:val="B6E4D0C8"/>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C152626"/>
    <w:multiLevelType w:val="multilevel"/>
    <w:tmpl w:val="B0A412B0"/>
    <w:styleLink w:val="Style1"/>
    <w:lvl w:ilvl="0">
      <w:start w:val="1"/>
      <w:numFmt w:val="upperLetter"/>
      <w:lvlText w:val="%1."/>
      <w:lvlJc w:val="left"/>
      <w:pPr>
        <w:ind w:left="1080" w:hanging="360"/>
      </w:pPr>
      <w:rPr>
        <w:rFonts w:ascii="Calibri" w:hAnsi="Calibri"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814953"/>
    <w:multiLevelType w:val="hybridMultilevel"/>
    <w:tmpl w:val="588EAD28"/>
    <w:lvl w:ilvl="0" w:tplc="47BA22F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04F77"/>
    <w:multiLevelType w:val="hybridMultilevel"/>
    <w:tmpl w:val="8C9A6E62"/>
    <w:lvl w:ilvl="0" w:tplc="0602E442">
      <w:start w:val="1"/>
      <w:numFmt w:val="decimal"/>
      <w:lvlText w:val="%1."/>
      <w:lvlJc w:val="left"/>
      <w:pPr>
        <w:ind w:left="1440" w:hanging="360"/>
      </w:pPr>
      <w:rPr>
        <w:rFonts w:ascii="Arial" w:hAnsi="Arial" w:cs="Arial" w:hint="default"/>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D738A8"/>
    <w:multiLevelType w:val="hybridMultilevel"/>
    <w:tmpl w:val="C52CE1FA"/>
    <w:lvl w:ilvl="0" w:tplc="F00820D4">
      <w:start w:val="1"/>
      <w:numFmt w:val="decimal"/>
      <w:lvlText w:val="%1."/>
      <w:lvlJc w:val="left"/>
      <w:pPr>
        <w:ind w:left="1080" w:hanging="360"/>
      </w:pPr>
      <w:rPr>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F58C6"/>
    <w:multiLevelType w:val="hybridMultilevel"/>
    <w:tmpl w:val="C37E69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404892"/>
    <w:multiLevelType w:val="multilevel"/>
    <w:tmpl w:val="F466A7A8"/>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CC00FA4"/>
    <w:multiLevelType w:val="multilevel"/>
    <w:tmpl w:val="98B264E8"/>
    <w:numStyleLink w:val="DEACStandardsList"/>
  </w:abstractNum>
  <w:abstractNum w:abstractNumId="9" w15:restartNumberingAfterBreak="0">
    <w:nsid w:val="2DB2368A"/>
    <w:multiLevelType w:val="singleLevel"/>
    <w:tmpl w:val="FF96DA0A"/>
    <w:lvl w:ilvl="0">
      <w:start w:val="1"/>
      <w:numFmt w:val="decimal"/>
      <w:lvlText w:val="%1."/>
      <w:lvlJc w:val="left"/>
      <w:pPr>
        <w:ind w:left="1440" w:hanging="360"/>
      </w:pPr>
      <w:rPr>
        <w:rFonts w:hint="default"/>
        <w:color w:val="auto"/>
        <w:sz w:val="22"/>
        <w:szCs w:val="22"/>
      </w:rPr>
    </w:lvl>
  </w:abstractNum>
  <w:abstractNum w:abstractNumId="10" w15:restartNumberingAfterBreak="0">
    <w:nsid w:val="2E6F1514"/>
    <w:multiLevelType w:val="multilevel"/>
    <w:tmpl w:val="98B264E8"/>
    <w:numStyleLink w:val="DEACStandardsList"/>
  </w:abstractNum>
  <w:abstractNum w:abstractNumId="11" w15:restartNumberingAfterBreak="0">
    <w:nsid w:val="30BC6B57"/>
    <w:multiLevelType w:val="multilevel"/>
    <w:tmpl w:val="98B264E8"/>
    <w:numStyleLink w:val="DEACStandardsList"/>
  </w:abstractNum>
  <w:abstractNum w:abstractNumId="12" w15:restartNumberingAfterBreak="0">
    <w:nsid w:val="34D4583C"/>
    <w:multiLevelType w:val="multilevel"/>
    <w:tmpl w:val="98B264E8"/>
    <w:numStyleLink w:val="DEACStandardsList"/>
  </w:abstractNum>
  <w:abstractNum w:abstractNumId="13" w15:restartNumberingAfterBreak="0">
    <w:nsid w:val="35C800AF"/>
    <w:multiLevelType w:val="multilevel"/>
    <w:tmpl w:val="98B264E8"/>
    <w:numStyleLink w:val="DEACStandardsList"/>
  </w:abstractNum>
  <w:abstractNum w:abstractNumId="14"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42AB5F1C"/>
    <w:multiLevelType w:val="multilevel"/>
    <w:tmpl w:val="98B264E8"/>
    <w:numStyleLink w:val="DEACStandardsList"/>
  </w:abstractNum>
  <w:abstractNum w:abstractNumId="16" w15:restartNumberingAfterBreak="0">
    <w:nsid w:val="47501248"/>
    <w:multiLevelType w:val="hybridMultilevel"/>
    <w:tmpl w:val="320C8814"/>
    <w:lvl w:ilvl="0" w:tplc="C94ACED8">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3386A"/>
    <w:multiLevelType w:val="multilevel"/>
    <w:tmpl w:val="B456F4B0"/>
    <w:lvl w:ilvl="0">
      <w:start w:val="7"/>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49FC13F3"/>
    <w:multiLevelType w:val="hybridMultilevel"/>
    <w:tmpl w:val="1A382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576A9"/>
    <w:multiLevelType w:val="hybridMultilevel"/>
    <w:tmpl w:val="F078E5AC"/>
    <w:lvl w:ilvl="0" w:tplc="B008A11A">
      <w:start w:val="1"/>
      <w:numFmt w:val="decimal"/>
      <w:lvlText w:val="%1."/>
      <w:lvlJc w:val="left"/>
      <w:pPr>
        <w:ind w:left="1440" w:hanging="360"/>
      </w:pPr>
      <w:rPr>
        <w:color w:val="auto"/>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5E7CE3"/>
    <w:multiLevelType w:val="hybridMultilevel"/>
    <w:tmpl w:val="A6B2A4FE"/>
    <w:lvl w:ilvl="0" w:tplc="B78AD84C">
      <w:start w:val="1"/>
      <w:numFmt w:val="decimal"/>
      <w:lvlText w:val="%1."/>
      <w:lvlJc w:val="left"/>
      <w:pPr>
        <w:ind w:left="720" w:hanging="360"/>
      </w:pPr>
      <w:rPr>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41732"/>
    <w:multiLevelType w:val="multilevel"/>
    <w:tmpl w:val="C728BC64"/>
    <w:lvl w:ilvl="0">
      <w:start w:val="3"/>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65507E69"/>
    <w:multiLevelType w:val="hybridMultilevel"/>
    <w:tmpl w:val="8744B71A"/>
    <w:lvl w:ilvl="0" w:tplc="B78AD84C">
      <w:start w:val="1"/>
      <w:numFmt w:val="decimal"/>
      <w:lvlText w:val="%1."/>
      <w:lvlJc w:val="left"/>
      <w:pPr>
        <w:ind w:left="720" w:hanging="360"/>
      </w:pPr>
      <w:rPr>
        <w:rFonts w:hint="default"/>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8445D"/>
    <w:multiLevelType w:val="hybridMultilevel"/>
    <w:tmpl w:val="B0B0035A"/>
    <w:lvl w:ilvl="0" w:tplc="B78AD84C">
      <w:start w:val="1"/>
      <w:numFmt w:val="decimal"/>
      <w:lvlText w:val="%1."/>
      <w:lvlJc w:val="left"/>
      <w:pPr>
        <w:ind w:left="720" w:hanging="360"/>
      </w:pPr>
      <w:rPr>
        <w:rFonts w:hint="default"/>
        <w:color w:val="385623" w:themeColor="accent6"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424E0"/>
    <w:multiLevelType w:val="hybridMultilevel"/>
    <w:tmpl w:val="B2086B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F570B94"/>
    <w:multiLevelType w:val="hybridMultilevel"/>
    <w:tmpl w:val="9A60F59E"/>
    <w:lvl w:ilvl="0" w:tplc="B78AD84C">
      <w:start w:val="1"/>
      <w:numFmt w:val="decimal"/>
      <w:lvlText w:val="%1."/>
      <w:lvlJc w:val="left"/>
      <w:pPr>
        <w:ind w:left="720" w:hanging="360"/>
      </w:pPr>
      <w:rPr>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9649A"/>
    <w:multiLevelType w:val="hybridMultilevel"/>
    <w:tmpl w:val="44F49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3"/>
  </w:num>
  <w:num w:numId="3">
    <w:abstractNumId w:val="11"/>
  </w:num>
  <w:num w:numId="4">
    <w:abstractNumId w:val="18"/>
  </w:num>
  <w:num w:numId="5">
    <w:abstractNumId w:val="19"/>
  </w:num>
  <w:num w:numId="6">
    <w:abstractNumId w:val="8"/>
  </w:num>
  <w:num w:numId="7">
    <w:abstractNumId w:val="6"/>
  </w:num>
  <w:num w:numId="8">
    <w:abstractNumId w:val="3"/>
  </w:num>
  <w:num w:numId="9">
    <w:abstractNumId w:val="26"/>
  </w:num>
  <w:num w:numId="10">
    <w:abstractNumId w:val="10"/>
  </w:num>
  <w:num w:numId="11">
    <w:abstractNumId w:val="24"/>
  </w:num>
  <w:num w:numId="12">
    <w:abstractNumId w:val="12"/>
  </w:num>
  <w:num w:numId="13">
    <w:abstractNumId w:val="4"/>
  </w:num>
  <w:num w:numId="14">
    <w:abstractNumId w:val="0"/>
    <w:lvlOverride w:ilvl="0">
      <w:lvl w:ilvl="0" w:tplc="04090015">
        <w:start w:val="1"/>
        <w:numFmt w:val="upperLetter"/>
        <w:lvlText w:val="%1."/>
        <w:lvlJc w:val="left"/>
        <w:pPr>
          <w:tabs>
            <w:tab w:val="num" w:pos="7200"/>
          </w:tabs>
          <w:ind w:left="360" w:hanging="360"/>
        </w:pPr>
        <w:rPr>
          <w:rFonts w:asciiTheme="minorHAnsi" w:hAnsiTheme="minorHAnsi" w:hint="default"/>
          <w:b/>
          <w:i w:val="0"/>
          <w:sz w:val="24"/>
        </w:rPr>
      </w:lvl>
    </w:lvlOverride>
    <w:lvlOverride w:ilvl="1">
      <w:lvl w:ilvl="1" w:tplc="04090019">
        <w:start w:val="1"/>
        <w:numFmt w:val="decimal"/>
        <w:lvlText w:val="%2."/>
        <w:lvlJc w:val="left"/>
        <w:pPr>
          <w:ind w:left="720" w:hanging="360"/>
        </w:pPr>
        <w:rPr>
          <w:rFonts w:asciiTheme="minorHAnsi" w:hAnsiTheme="minorHAnsi" w:hint="default"/>
          <w:sz w:val="24"/>
        </w:rPr>
      </w:lvl>
    </w:lvlOverride>
    <w:lvlOverride w:ilvl="2">
      <w:lvl w:ilvl="2" w:tplc="0409001B">
        <w:start w:val="1"/>
        <w:numFmt w:val="lowerLetter"/>
        <w:lvlText w:val="%3."/>
        <w:lvlJc w:val="left"/>
        <w:pPr>
          <w:ind w:left="1080" w:hanging="360"/>
        </w:pPr>
        <w:rPr>
          <w:rFonts w:hint="default"/>
        </w:rPr>
      </w:lvl>
    </w:lvlOverride>
    <w:lvlOverride w:ilvl="3">
      <w:lvl w:ilvl="3" w:tplc="0409000F">
        <w:start w:val="1"/>
        <w:numFmt w:val="bullet"/>
        <w:lvlText w:val=""/>
        <w:lvlJc w:val="left"/>
        <w:pPr>
          <w:ind w:left="1080" w:hanging="360"/>
        </w:pPr>
        <w:rPr>
          <w:rFonts w:ascii="Symbol" w:hAnsi="Symbol" w:hint="default"/>
          <w:color w:val="auto"/>
        </w:rPr>
      </w:lvl>
    </w:lvlOverride>
    <w:lvlOverride w:ilvl="4">
      <w:lvl w:ilvl="4" w:tplc="04090019">
        <w:start w:val="1"/>
        <w:numFmt w:val="lowerLetter"/>
        <w:lvlText w:val="(%5)"/>
        <w:lvlJc w:val="left"/>
        <w:pPr>
          <w:ind w:left="2160" w:hanging="360"/>
        </w:pPr>
        <w:rPr>
          <w:rFonts w:hint="default"/>
        </w:rPr>
      </w:lvl>
    </w:lvlOverride>
    <w:lvlOverride w:ilvl="5">
      <w:lvl w:ilvl="5" w:tplc="0409001B">
        <w:start w:val="1"/>
        <w:numFmt w:val="lowerRoman"/>
        <w:lvlText w:val="(%6)"/>
        <w:lvlJc w:val="left"/>
        <w:pPr>
          <w:ind w:left="2520" w:hanging="360"/>
        </w:pPr>
        <w:rPr>
          <w:rFonts w:hint="default"/>
        </w:rPr>
      </w:lvl>
    </w:lvlOverride>
    <w:lvlOverride w:ilvl="6">
      <w:lvl w:ilvl="6" w:tplc="0409000F">
        <w:start w:val="1"/>
        <w:numFmt w:val="decimal"/>
        <w:lvlText w:val="%7."/>
        <w:lvlJc w:val="left"/>
        <w:pPr>
          <w:ind w:left="2880" w:hanging="360"/>
        </w:pPr>
        <w:rPr>
          <w:rFonts w:hint="default"/>
        </w:rPr>
      </w:lvl>
    </w:lvlOverride>
    <w:lvlOverride w:ilvl="7">
      <w:lvl w:ilvl="7" w:tplc="04090019">
        <w:start w:val="1"/>
        <w:numFmt w:val="lowerLetter"/>
        <w:lvlText w:val="%8."/>
        <w:lvlJc w:val="left"/>
        <w:pPr>
          <w:ind w:left="3240" w:hanging="360"/>
        </w:pPr>
        <w:rPr>
          <w:rFonts w:hint="default"/>
        </w:rPr>
      </w:lvl>
    </w:lvlOverride>
    <w:lvlOverride w:ilvl="8">
      <w:lvl w:ilvl="8" w:tplc="0409001B">
        <w:start w:val="1"/>
        <w:numFmt w:val="lowerRoman"/>
        <w:lvlText w:val="%9."/>
        <w:lvlJc w:val="left"/>
        <w:pPr>
          <w:ind w:left="3600" w:hanging="360"/>
        </w:pPr>
        <w:rPr>
          <w:rFonts w:hint="default"/>
        </w:rPr>
      </w:lvl>
    </w:lvlOverride>
  </w:num>
  <w:num w:numId="15">
    <w:abstractNumId w:val="9"/>
  </w:num>
  <w:num w:numId="16">
    <w:abstractNumId w:val="2"/>
  </w:num>
  <w:num w:numId="17">
    <w:abstractNumId w:val="14"/>
  </w:num>
  <w:num w:numId="18">
    <w:abstractNumId w:val="25"/>
  </w:num>
  <w:num w:numId="19">
    <w:abstractNumId w:val="22"/>
  </w:num>
  <w:num w:numId="20">
    <w:abstractNumId w:val="1"/>
  </w:num>
  <w:num w:numId="21">
    <w:abstractNumId w:val="17"/>
  </w:num>
  <w:num w:numId="22">
    <w:abstractNumId w:val="21"/>
  </w:num>
  <w:num w:numId="23">
    <w:abstractNumId w:val="23"/>
  </w:num>
  <w:num w:numId="24">
    <w:abstractNumId w:val="7"/>
  </w:num>
  <w:num w:numId="25">
    <w:abstractNumId w:val="16"/>
  </w:num>
  <w:num w:numId="26">
    <w:abstractNumId w:val="5"/>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A0"/>
    <w:rsid w:val="00002F7F"/>
    <w:rsid w:val="000B570B"/>
    <w:rsid w:val="000C50E0"/>
    <w:rsid w:val="0010494D"/>
    <w:rsid w:val="00120A61"/>
    <w:rsid w:val="00172430"/>
    <w:rsid w:val="001E59DB"/>
    <w:rsid w:val="002478BC"/>
    <w:rsid w:val="00287144"/>
    <w:rsid w:val="002B7863"/>
    <w:rsid w:val="002E2E81"/>
    <w:rsid w:val="00324296"/>
    <w:rsid w:val="003536BD"/>
    <w:rsid w:val="003816F4"/>
    <w:rsid w:val="003D27C4"/>
    <w:rsid w:val="003D5B3B"/>
    <w:rsid w:val="003E0887"/>
    <w:rsid w:val="00403166"/>
    <w:rsid w:val="004D571C"/>
    <w:rsid w:val="004D7793"/>
    <w:rsid w:val="004F318F"/>
    <w:rsid w:val="004F7E15"/>
    <w:rsid w:val="005046E8"/>
    <w:rsid w:val="005155AF"/>
    <w:rsid w:val="0055777C"/>
    <w:rsid w:val="0058614D"/>
    <w:rsid w:val="00597D58"/>
    <w:rsid w:val="005C0366"/>
    <w:rsid w:val="005C0393"/>
    <w:rsid w:val="005E3B29"/>
    <w:rsid w:val="006021D3"/>
    <w:rsid w:val="00602BA1"/>
    <w:rsid w:val="00620EDE"/>
    <w:rsid w:val="00656A64"/>
    <w:rsid w:val="00665113"/>
    <w:rsid w:val="006961A0"/>
    <w:rsid w:val="006A48F7"/>
    <w:rsid w:val="006E2332"/>
    <w:rsid w:val="0078550F"/>
    <w:rsid w:val="007915B7"/>
    <w:rsid w:val="007A4380"/>
    <w:rsid w:val="007C7AE4"/>
    <w:rsid w:val="008040BE"/>
    <w:rsid w:val="00827C0F"/>
    <w:rsid w:val="00871909"/>
    <w:rsid w:val="00875301"/>
    <w:rsid w:val="00894E68"/>
    <w:rsid w:val="008B1C5F"/>
    <w:rsid w:val="008C7865"/>
    <w:rsid w:val="008D08B9"/>
    <w:rsid w:val="008D58B7"/>
    <w:rsid w:val="00935422"/>
    <w:rsid w:val="0093790D"/>
    <w:rsid w:val="009543CE"/>
    <w:rsid w:val="0096357F"/>
    <w:rsid w:val="00985F04"/>
    <w:rsid w:val="00986855"/>
    <w:rsid w:val="009C1D46"/>
    <w:rsid w:val="00A3639F"/>
    <w:rsid w:val="00A76069"/>
    <w:rsid w:val="00A94473"/>
    <w:rsid w:val="00AC75F3"/>
    <w:rsid w:val="00AC7D5F"/>
    <w:rsid w:val="00AD0BFE"/>
    <w:rsid w:val="00AD5AC6"/>
    <w:rsid w:val="00AE1F04"/>
    <w:rsid w:val="00AE3D7D"/>
    <w:rsid w:val="00AF25BE"/>
    <w:rsid w:val="00B21317"/>
    <w:rsid w:val="00B81557"/>
    <w:rsid w:val="00BE3960"/>
    <w:rsid w:val="00BF30D0"/>
    <w:rsid w:val="00C14206"/>
    <w:rsid w:val="00C20A09"/>
    <w:rsid w:val="00C24060"/>
    <w:rsid w:val="00C91326"/>
    <w:rsid w:val="00CA05B4"/>
    <w:rsid w:val="00CD4E7F"/>
    <w:rsid w:val="00CE4BE4"/>
    <w:rsid w:val="00CF68A8"/>
    <w:rsid w:val="00D20435"/>
    <w:rsid w:val="00D37281"/>
    <w:rsid w:val="00D744EA"/>
    <w:rsid w:val="00D83992"/>
    <w:rsid w:val="00D939AF"/>
    <w:rsid w:val="00DA4DE1"/>
    <w:rsid w:val="00DB5334"/>
    <w:rsid w:val="00E070CC"/>
    <w:rsid w:val="00E150F8"/>
    <w:rsid w:val="00E5350A"/>
    <w:rsid w:val="00E60CD7"/>
    <w:rsid w:val="00E73848"/>
    <w:rsid w:val="00EA64AD"/>
    <w:rsid w:val="00EE2399"/>
    <w:rsid w:val="00F1688A"/>
    <w:rsid w:val="00F1735C"/>
    <w:rsid w:val="00F36999"/>
    <w:rsid w:val="00F3789C"/>
    <w:rsid w:val="00F40738"/>
    <w:rsid w:val="00F470C2"/>
    <w:rsid w:val="00F52327"/>
    <w:rsid w:val="00FF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A8D2"/>
  <w15:chartTrackingRefBased/>
  <w15:docId w15:val="{C938883C-6256-4251-8E5D-18FEB455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CD4E7F"/>
    <w:pPr>
      <w:outlineLvl w:val="0"/>
    </w:pPr>
  </w:style>
  <w:style w:type="paragraph" w:styleId="Heading2">
    <w:name w:val="heading 2"/>
    <w:basedOn w:val="Normal"/>
    <w:next w:val="Normal"/>
    <w:link w:val="Heading2Char"/>
    <w:uiPriority w:val="9"/>
    <w:unhideWhenUsed/>
    <w:qFormat/>
    <w:rsid w:val="00A944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656A64"/>
    <w:pPr>
      <w:keepNext w:val="0"/>
      <w:keepLines w:val="0"/>
      <w:pBdr>
        <w:bottom w:val="single" w:sz="4" w:space="1" w:color="auto"/>
      </w:pBdr>
      <w:spacing w:before="0" w:after="280" w:line="240" w:lineRule="auto"/>
      <w:outlineLvl w:val="2"/>
    </w:pPr>
    <w:rPr>
      <w:rFonts w:asciiTheme="minorHAnsi" w:eastAsiaTheme="minorHAnsi" w:hAnsiTheme="minorHAnsi" w:cs="Arial"/>
      <w:smallCaps/>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5777C"/>
    <w:pPr>
      <w:ind w:left="720"/>
      <w:contextualSpacing/>
    </w:pPr>
  </w:style>
  <w:style w:type="paragraph" w:styleId="Header">
    <w:name w:val="header"/>
    <w:basedOn w:val="Normal"/>
    <w:link w:val="HeaderChar"/>
    <w:uiPriority w:val="99"/>
    <w:unhideWhenUsed/>
    <w:rsid w:val="00C20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09"/>
  </w:style>
  <w:style w:type="paragraph" w:styleId="Footer">
    <w:name w:val="footer"/>
    <w:basedOn w:val="Normal"/>
    <w:link w:val="FooterChar"/>
    <w:uiPriority w:val="99"/>
    <w:unhideWhenUsed/>
    <w:rsid w:val="00C20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09"/>
  </w:style>
  <w:style w:type="character" w:styleId="PlaceholderText">
    <w:name w:val="Placeholder Text"/>
    <w:basedOn w:val="DefaultParagraphFont"/>
    <w:uiPriority w:val="99"/>
    <w:semiHidden/>
    <w:rsid w:val="00665113"/>
    <w:rPr>
      <w:color w:val="808080"/>
    </w:rPr>
  </w:style>
  <w:style w:type="paragraph" w:styleId="BalloonText">
    <w:name w:val="Balloon Text"/>
    <w:basedOn w:val="Normal"/>
    <w:link w:val="BalloonTextChar"/>
    <w:uiPriority w:val="99"/>
    <w:semiHidden/>
    <w:unhideWhenUsed/>
    <w:rsid w:val="007C7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E4"/>
    <w:rPr>
      <w:rFonts w:ascii="Segoe UI" w:hAnsi="Segoe UI" w:cs="Segoe UI"/>
      <w:sz w:val="18"/>
      <w:szCs w:val="18"/>
    </w:rPr>
  </w:style>
  <w:style w:type="character" w:customStyle="1" w:styleId="Heading2Char">
    <w:name w:val="Heading 2 Char"/>
    <w:basedOn w:val="DefaultParagraphFont"/>
    <w:link w:val="Heading2"/>
    <w:uiPriority w:val="9"/>
    <w:rsid w:val="00A9447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94473"/>
    <w:rPr>
      <w:sz w:val="16"/>
      <w:szCs w:val="16"/>
    </w:rPr>
  </w:style>
  <w:style w:type="paragraph" w:styleId="CommentText">
    <w:name w:val="annotation text"/>
    <w:basedOn w:val="Normal"/>
    <w:link w:val="CommentTextChar"/>
    <w:uiPriority w:val="99"/>
    <w:semiHidden/>
    <w:unhideWhenUsed/>
    <w:rsid w:val="00A94473"/>
    <w:pPr>
      <w:spacing w:line="240" w:lineRule="auto"/>
    </w:pPr>
    <w:rPr>
      <w:sz w:val="20"/>
      <w:szCs w:val="20"/>
    </w:rPr>
  </w:style>
  <w:style w:type="character" w:customStyle="1" w:styleId="CommentTextChar">
    <w:name w:val="Comment Text Char"/>
    <w:basedOn w:val="DefaultParagraphFont"/>
    <w:link w:val="CommentText"/>
    <w:uiPriority w:val="99"/>
    <w:semiHidden/>
    <w:rsid w:val="00A94473"/>
    <w:rPr>
      <w:sz w:val="20"/>
      <w:szCs w:val="20"/>
    </w:rPr>
  </w:style>
  <w:style w:type="paragraph" w:styleId="CommentSubject">
    <w:name w:val="annotation subject"/>
    <w:basedOn w:val="CommentText"/>
    <w:next w:val="CommentText"/>
    <w:link w:val="CommentSubjectChar"/>
    <w:uiPriority w:val="99"/>
    <w:semiHidden/>
    <w:unhideWhenUsed/>
    <w:rsid w:val="00A94473"/>
    <w:rPr>
      <w:b/>
      <w:bCs/>
    </w:rPr>
  </w:style>
  <w:style w:type="character" w:customStyle="1" w:styleId="CommentSubjectChar">
    <w:name w:val="Comment Subject Char"/>
    <w:basedOn w:val="CommentTextChar"/>
    <w:link w:val="CommentSubject"/>
    <w:uiPriority w:val="99"/>
    <w:semiHidden/>
    <w:rsid w:val="00A94473"/>
    <w:rPr>
      <w:b/>
      <w:bCs/>
      <w:sz w:val="20"/>
      <w:szCs w:val="20"/>
    </w:rPr>
  </w:style>
  <w:style w:type="character" w:customStyle="1" w:styleId="Heading1Char">
    <w:name w:val="Heading 1 Char"/>
    <w:basedOn w:val="DefaultParagraphFont"/>
    <w:link w:val="Heading1"/>
    <w:uiPriority w:val="9"/>
    <w:rsid w:val="00CD4E7F"/>
    <w:rPr>
      <w:rFonts w:cs="Arial"/>
      <w:smallCaps/>
      <w:sz w:val="28"/>
      <w:szCs w:val="20"/>
    </w:rPr>
  </w:style>
  <w:style w:type="character" w:customStyle="1" w:styleId="Heading3Char">
    <w:name w:val="Heading 3 Char"/>
    <w:basedOn w:val="DefaultParagraphFont"/>
    <w:link w:val="Heading3"/>
    <w:uiPriority w:val="9"/>
    <w:rsid w:val="00656A64"/>
    <w:rPr>
      <w:rFonts w:cs="Arial"/>
      <w:smallCaps/>
      <w:sz w:val="28"/>
      <w:szCs w:val="20"/>
    </w:rPr>
  </w:style>
  <w:style w:type="table" w:styleId="TableGrid">
    <w:name w:val="Table Grid"/>
    <w:basedOn w:val="TableNormal"/>
    <w:uiPriority w:val="39"/>
    <w:rsid w:val="0065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A64"/>
    <w:rPr>
      <w:color w:val="0563C1" w:themeColor="hyperlink"/>
      <w:u w:val="single"/>
    </w:rPr>
  </w:style>
  <w:style w:type="paragraph" w:styleId="Title">
    <w:name w:val="Title"/>
    <w:basedOn w:val="Normal"/>
    <w:next w:val="Normal"/>
    <w:link w:val="TitleChar"/>
    <w:uiPriority w:val="10"/>
    <w:qFormat/>
    <w:rsid w:val="00656A64"/>
    <w:pPr>
      <w:spacing w:after="600" w:line="240" w:lineRule="auto"/>
      <w:jc w:val="center"/>
    </w:pPr>
    <w:rPr>
      <w:b/>
      <w:smallCaps/>
      <w:sz w:val="32"/>
    </w:rPr>
  </w:style>
  <w:style w:type="character" w:customStyle="1" w:styleId="TitleChar">
    <w:name w:val="Title Char"/>
    <w:basedOn w:val="DefaultParagraphFont"/>
    <w:link w:val="Title"/>
    <w:uiPriority w:val="10"/>
    <w:rsid w:val="00656A64"/>
    <w:rPr>
      <w:b/>
      <w:smallCaps/>
      <w:sz w:val="32"/>
    </w:rPr>
  </w:style>
  <w:style w:type="paragraph" w:styleId="NoSpacing">
    <w:name w:val="No Spacing"/>
    <w:basedOn w:val="Normal"/>
    <w:uiPriority w:val="1"/>
    <w:qFormat/>
    <w:rsid w:val="00656A64"/>
    <w:pPr>
      <w:spacing w:after="0" w:line="240" w:lineRule="auto"/>
    </w:pPr>
  </w:style>
  <w:style w:type="numbering" w:customStyle="1" w:styleId="Style1">
    <w:name w:val="Style1"/>
    <w:uiPriority w:val="99"/>
    <w:rsid w:val="00656A64"/>
    <w:pPr>
      <w:numPr>
        <w:numId w:val="16"/>
      </w:numPr>
    </w:pPr>
  </w:style>
  <w:style w:type="character" w:customStyle="1" w:styleId="normaltextrun">
    <w:name w:val="normaltextrun"/>
    <w:basedOn w:val="DefaultParagraphFont"/>
    <w:rsid w:val="00656A64"/>
  </w:style>
  <w:style w:type="table" w:customStyle="1" w:styleId="TableGrid1">
    <w:name w:val="Table Grid1"/>
    <w:basedOn w:val="TableNormal"/>
    <w:next w:val="TableGrid"/>
    <w:uiPriority w:val="39"/>
    <w:rsid w:val="0065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
    <w:name w:val="DEAC Standards List"/>
    <w:basedOn w:val="NoList"/>
    <w:uiPriority w:val="99"/>
    <w:rsid w:val="00AE3D7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F070-D299-40F6-B5C6-8DE93956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7</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Chiaramonte</dc:creator>
  <cp:keywords/>
  <dc:description/>
  <cp:lastModifiedBy>Andy Thompson</cp:lastModifiedBy>
  <cp:revision>20</cp:revision>
  <dcterms:created xsi:type="dcterms:W3CDTF">2020-02-18T17:38:00Z</dcterms:created>
  <dcterms:modified xsi:type="dcterms:W3CDTF">2022-04-13T14:27:00Z</dcterms:modified>
</cp:coreProperties>
</file>